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4B" w:rsidRDefault="00C9254B" w:rsidP="00C9254B">
      <w:pPr>
        <w:rPr>
          <w:color w:val="auto"/>
          <w:sz w:val="20"/>
          <w:szCs w:val="20"/>
          <w:lang w:val="en-US"/>
        </w:rPr>
      </w:pPr>
    </w:p>
    <w:tbl>
      <w:tblPr>
        <w:tblStyle w:val="a3"/>
        <w:tblW w:w="15593" w:type="dxa"/>
        <w:tblInd w:w="-1168" w:type="dxa"/>
        <w:tblLook w:val="04A0" w:firstRow="1" w:lastRow="0" w:firstColumn="1" w:lastColumn="0" w:noHBand="0" w:noVBand="1"/>
      </w:tblPr>
      <w:tblGrid>
        <w:gridCol w:w="1685"/>
        <w:gridCol w:w="3894"/>
        <w:gridCol w:w="1426"/>
        <w:gridCol w:w="1857"/>
        <w:gridCol w:w="1844"/>
        <w:gridCol w:w="3122"/>
        <w:gridCol w:w="1765"/>
      </w:tblGrid>
      <w:tr w:rsidR="00C9254B" w:rsidTr="008D2C19">
        <w:tc>
          <w:tcPr>
            <w:tcW w:w="15593" w:type="dxa"/>
            <w:gridSpan w:val="7"/>
            <w:shd w:val="clear" w:color="auto" w:fill="DBDBDB" w:themeFill="accent3" w:themeFillTint="66"/>
          </w:tcPr>
          <w:p w:rsidR="00C9254B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9856F9">
              <w:rPr>
                <w:color w:val="auto"/>
                <w:sz w:val="20"/>
                <w:szCs w:val="20"/>
                <w:lang w:val="en-US"/>
              </w:rPr>
              <w:t>1.</w:t>
            </w:r>
            <w:r w:rsidRPr="009856F9">
              <w:rPr>
                <w:color w:val="auto"/>
                <w:sz w:val="20"/>
                <w:szCs w:val="20"/>
                <w:lang w:val="en-US"/>
              </w:rPr>
              <w:tab/>
              <w:t>Мерки с постоянен характер – Rs_Per</w:t>
            </w:r>
          </w:p>
        </w:tc>
      </w:tr>
      <w:tr w:rsidR="00C9254B" w:rsidTr="008D2C19">
        <w:tc>
          <w:tcPr>
            <w:tcW w:w="1685" w:type="dxa"/>
            <w:vAlign w:val="center"/>
          </w:tcPr>
          <w:p w:rsidR="00C9254B" w:rsidRPr="00C35395" w:rsidRDefault="00C9254B" w:rsidP="008D2C19">
            <w:pPr>
              <w:tabs>
                <w:tab w:val="left" w:pos="3654"/>
              </w:tabs>
              <w:jc w:val="center"/>
              <w:rPr>
                <w:rFonts w:eastAsia="Calibri"/>
                <w:lang w:val="en-US"/>
              </w:rPr>
            </w:pPr>
            <w:r w:rsidRPr="00C35395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894" w:type="dxa"/>
            <w:vAlign w:val="center"/>
          </w:tcPr>
          <w:p w:rsidR="00C9254B" w:rsidRPr="00C35395" w:rsidRDefault="00C9254B" w:rsidP="008D2C19">
            <w:pPr>
              <w:tabs>
                <w:tab w:val="left" w:pos="3654"/>
              </w:tabs>
              <w:jc w:val="center"/>
              <w:rPr>
                <w:rFonts w:eastAsia="Calibri"/>
                <w:lang w:val="en-US"/>
              </w:rPr>
            </w:pPr>
            <w:r w:rsidRPr="00C35395">
              <w:rPr>
                <w:b/>
                <w:sz w:val="20"/>
                <w:szCs w:val="20"/>
              </w:rPr>
              <w:t>Описание на мярката</w:t>
            </w:r>
          </w:p>
        </w:tc>
        <w:tc>
          <w:tcPr>
            <w:tcW w:w="1426" w:type="dxa"/>
            <w:vAlign w:val="center"/>
          </w:tcPr>
          <w:p w:rsidR="00C9254B" w:rsidRPr="00C35395" w:rsidRDefault="00C9254B" w:rsidP="008D2C19">
            <w:pPr>
              <w:tabs>
                <w:tab w:val="left" w:pos="3654"/>
              </w:tabs>
              <w:jc w:val="center"/>
              <w:rPr>
                <w:rFonts w:eastAsia="Calibri"/>
                <w:lang w:val="en-US"/>
              </w:rPr>
            </w:pPr>
            <w:r w:rsidRPr="00C35395">
              <w:rPr>
                <w:b/>
                <w:sz w:val="20"/>
                <w:szCs w:val="20"/>
              </w:rPr>
              <w:t>Срок за изпълнение</w:t>
            </w:r>
          </w:p>
        </w:tc>
        <w:tc>
          <w:tcPr>
            <w:tcW w:w="1857" w:type="dxa"/>
          </w:tcPr>
          <w:p w:rsidR="00C9254B" w:rsidRPr="00BF6F43" w:rsidRDefault="00C9254B" w:rsidP="008D2C19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BF6F43">
              <w:rPr>
                <w:b/>
                <w:sz w:val="20"/>
                <w:szCs w:val="20"/>
              </w:rPr>
              <w:t>Изпълняваща се/ Изпълнена/ Не е изпълнена мярката</w:t>
            </w:r>
          </w:p>
        </w:tc>
        <w:tc>
          <w:tcPr>
            <w:tcW w:w="1844" w:type="dxa"/>
            <w:vAlign w:val="center"/>
          </w:tcPr>
          <w:p w:rsidR="00C9254B" w:rsidRPr="00C35395" w:rsidRDefault="00C9254B" w:rsidP="008D2C19">
            <w:pPr>
              <w:tabs>
                <w:tab w:val="left" w:pos="3654"/>
              </w:tabs>
              <w:jc w:val="center"/>
              <w:rPr>
                <w:rFonts w:eastAsia="Calibri"/>
                <w:lang w:val="en-US"/>
              </w:rPr>
            </w:pPr>
            <w:r w:rsidRPr="00C35395">
              <w:rPr>
                <w:b/>
                <w:sz w:val="20"/>
                <w:szCs w:val="20"/>
              </w:rPr>
              <w:t>Необходими средства, лв.</w:t>
            </w:r>
          </w:p>
        </w:tc>
        <w:tc>
          <w:tcPr>
            <w:tcW w:w="3122" w:type="dxa"/>
            <w:vAlign w:val="center"/>
          </w:tcPr>
          <w:p w:rsidR="00C9254B" w:rsidRPr="00C35395" w:rsidRDefault="00C9254B" w:rsidP="008D2C19">
            <w:pPr>
              <w:tabs>
                <w:tab w:val="left" w:pos="3654"/>
              </w:tabs>
              <w:jc w:val="center"/>
              <w:rPr>
                <w:rFonts w:eastAsia="Calibri"/>
                <w:lang w:val="en-US"/>
              </w:rPr>
            </w:pPr>
            <w:r w:rsidRPr="00C35395">
              <w:rPr>
                <w:b/>
                <w:sz w:val="20"/>
                <w:szCs w:val="20"/>
              </w:rPr>
              <w:t>Индикатор за контрол на изпълнението</w:t>
            </w:r>
          </w:p>
        </w:tc>
        <w:tc>
          <w:tcPr>
            <w:tcW w:w="1765" w:type="dxa"/>
            <w:vAlign w:val="center"/>
          </w:tcPr>
          <w:p w:rsidR="00C9254B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C35395">
              <w:rPr>
                <w:b/>
                <w:sz w:val="20"/>
                <w:szCs w:val="20"/>
              </w:rPr>
              <w:t>Период, в който се очаква ефект</w:t>
            </w:r>
          </w:p>
        </w:tc>
      </w:tr>
      <w:tr w:rsidR="00C9254B" w:rsidTr="008D2C19">
        <w:tc>
          <w:tcPr>
            <w:tcW w:w="15593" w:type="dxa"/>
            <w:gridSpan w:val="7"/>
          </w:tcPr>
          <w:p w:rsidR="00C9254B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bookmarkStart w:id="0" w:name="_Hlk41585310"/>
            <w:r w:rsidRPr="00580A99">
              <w:rPr>
                <w:b/>
                <w:sz w:val="20"/>
                <w:szCs w:val="20"/>
              </w:rPr>
              <w:t xml:space="preserve">Мерки с постоянен характер за намаляване емисиите на </w:t>
            </w:r>
            <w:r w:rsidRPr="00580A99">
              <w:rPr>
                <w:b/>
                <w:bCs/>
                <w:sz w:val="20"/>
                <w:szCs w:val="20"/>
              </w:rPr>
              <w:t>ФПЧ</w:t>
            </w:r>
            <w:r w:rsidRPr="00580A99">
              <w:rPr>
                <w:b/>
                <w:bCs/>
                <w:sz w:val="20"/>
                <w:szCs w:val="20"/>
                <w:vertAlign w:val="subscript"/>
              </w:rPr>
              <w:t>10</w:t>
            </w:r>
            <w:r w:rsidRPr="00580A99">
              <w:rPr>
                <w:b/>
                <w:bCs/>
                <w:sz w:val="20"/>
                <w:szCs w:val="20"/>
              </w:rPr>
              <w:t xml:space="preserve"> и  ФПЧ</w:t>
            </w:r>
            <w:r w:rsidRPr="00580A99">
              <w:rPr>
                <w:b/>
                <w:bCs/>
                <w:sz w:val="20"/>
                <w:szCs w:val="20"/>
                <w:vertAlign w:val="subscript"/>
              </w:rPr>
              <w:t xml:space="preserve">2.5 </w:t>
            </w:r>
            <w:r w:rsidRPr="00580A99">
              <w:rPr>
                <w:b/>
                <w:bCs/>
                <w:sz w:val="20"/>
                <w:szCs w:val="20"/>
              </w:rPr>
              <w:t xml:space="preserve">от битово и обществено отопление с твърди горива </w:t>
            </w:r>
            <w:r w:rsidRPr="00580A99">
              <w:rPr>
                <w:b/>
                <w:sz w:val="20"/>
                <w:szCs w:val="20"/>
              </w:rPr>
              <w:t>(</w:t>
            </w:r>
            <w:r w:rsidRPr="00580A99">
              <w:rPr>
                <w:b/>
                <w:sz w:val="20"/>
                <w:szCs w:val="20"/>
                <w:lang w:val="en-US"/>
              </w:rPr>
              <w:t>Rs</w:t>
            </w:r>
            <w:r w:rsidRPr="00580A99">
              <w:rPr>
                <w:b/>
                <w:sz w:val="20"/>
                <w:szCs w:val="20"/>
              </w:rPr>
              <w:t>_</w:t>
            </w:r>
            <w:r w:rsidRPr="00580A99">
              <w:rPr>
                <w:b/>
                <w:sz w:val="20"/>
                <w:szCs w:val="20"/>
                <w:lang w:val="en-US"/>
              </w:rPr>
              <w:t>Per_</w:t>
            </w:r>
            <w:r w:rsidRPr="00580A99">
              <w:rPr>
                <w:b/>
                <w:sz w:val="20"/>
                <w:szCs w:val="20"/>
              </w:rPr>
              <w:t>Dh)</w:t>
            </w:r>
            <w:bookmarkEnd w:id="0"/>
          </w:p>
        </w:tc>
      </w:tr>
      <w:tr w:rsidR="00C9254B" w:rsidRPr="00B82AB5" w:rsidTr="008D2C19">
        <w:tc>
          <w:tcPr>
            <w:tcW w:w="1685" w:type="dxa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s_Per_Dh_а_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3894" w:type="dxa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Системни проверки за нерегламентирано изгаряне на гуми, пластмаси, текстил и други.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Извършени проверки – 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 xml:space="preserve">23 </w:t>
            </w:r>
            <w:r w:rsidRPr="00B82AB5">
              <w:rPr>
                <w:color w:val="auto"/>
                <w:sz w:val="20"/>
                <w:szCs w:val="20"/>
              </w:rPr>
              <w:t>броя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s_Per_Dh_а_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Системни проверки на строителните обекти за начина на отопление на работниците и чистотата на строителните площадки</w:t>
            </w:r>
            <w:r w:rsidRPr="00B82AB5">
              <w:rPr>
                <w:rFonts w:eastAsia="Calibri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Брой извършени проверки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 xml:space="preserve"> – 66 </w:t>
            </w:r>
            <w:r w:rsidRPr="00B82AB5">
              <w:rPr>
                <w:color w:val="auto"/>
                <w:sz w:val="20"/>
                <w:szCs w:val="20"/>
              </w:rPr>
              <w:t>броя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b/>
                <w:color w:val="auto"/>
                <w:sz w:val="20"/>
                <w:szCs w:val="20"/>
              </w:rPr>
              <w:t xml:space="preserve">Мерки с постоянен характер за намаляване емисиите на </w:t>
            </w:r>
            <w:r w:rsidRPr="00B82AB5">
              <w:rPr>
                <w:b/>
                <w:bCs/>
                <w:color w:val="auto"/>
                <w:sz w:val="20"/>
                <w:szCs w:val="20"/>
              </w:rPr>
              <w:t>ФПЧ</w:t>
            </w:r>
            <w:r w:rsidRPr="00B82AB5">
              <w:rPr>
                <w:b/>
                <w:bCs/>
                <w:color w:val="auto"/>
                <w:sz w:val="20"/>
                <w:szCs w:val="20"/>
                <w:vertAlign w:val="subscript"/>
              </w:rPr>
              <w:t>10</w:t>
            </w:r>
            <w:r w:rsidRPr="00B82AB5">
              <w:rPr>
                <w:b/>
                <w:bCs/>
                <w:color w:val="auto"/>
                <w:sz w:val="20"/>
                <w:szCs w:val="20"/>
              </w:rPr>
              <w:t xml:space="preserve"> и ФПЧ</w:t>
            </w:r>
            <w:r w:rsidRPr="00B82AB5">
              <w:rPr>
                <w:b/>
                <w:bCs/>
                <w:color w:val="auto"/>
                <w:sz w:val="20"/>
                <w:szCs w:val="20"/>
                <w:vertAlign w:val="subscript"/>
              </w:rPr>
              <w:t>2.5</w:t>
            </w:r>
            <w:r w:rsidRPr="00B82AB5">
              <w:rPr>
                <w:color w:val="auto"/>
                <w:sz w:val="20"/>
                <w:szCs w:val="20"/>
                <w:vertAlign w:val="subscript"/>
              </w:rPr>
              <w:t xml:space="preserve"> </w:t>
            </w:r>
            <w:r w:rsidRPr="00B82AB5">
              <w:rPr>
                <w:b/>
                <w:bCs/>
                <w:color w:val="auto"/>
                <w:sz w:val="20"/>
                <w:szCs w:val="20"/>
              </w:rPr>
              <w:t xml:space="preserve">от транспорта </w:t>
            </w:r>
            <w:r w:rsidRPr="00B82AB5">
              <w:rPr>
                <w:b/>
                <w:color w:val="auto"/>
                <w:sz w:val="20"/>
                <w:szCs w:val="20"/>
              </w:rPr>
              <w:t>(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>s_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val="en-US" w:eastAsia="zh-CN"/>
              </w:rPr>
              <w:t>Per_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>Tr</w:t>
            </w:r>
            <w:r w:rsidRPr="00B82AB5">
              <w:rPr>
                <w:b/>
                <w:color w:val="auto"/>
                <w:sz w:val="20"/>
                <w:szCs w:val="20"/>
              </w:rPr>
              <w:t>)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s_Per_Tr_а_1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Осъществяване на проверки за спазването на мерки за недопускане на замърсяване от строежите, вкл. по спазването на маршрутите за транспортиране на отпадъците от строителните обекти.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Постоянен контрол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s_Per_Tr_а_2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Постоянен контрол за неправилно паркиране, особено в зелените площи.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Изпълняваща се 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</w:t>
            </w:r>
            <w:r w:rsidRPr="00B82AB5">
              <w:rPr>
                <w:color w:val="auto"/>
                <w:sz w:val="20"/>
                <w:szCs w:val="20"/>
              </w:rPr>
              <w:t xml:space="preserve">ъставени </w:t>
            </w:r>
            <w:r>
              <w:rPr>
                <w:color w:val="auto"/>
                <w:sz w:val="20"/>
                <w:szCs w:val="20"/>
              </w:rPr>
              <w:t>177</w:t>
            </w:r>
            <w:r w:rsidRPr="00B82AB5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фиша по чл.15, ал.7 от ЗДП.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Cs/>
                <w:color w:val="auto"/>
                <w:sz w:val="20"/>
                <w:szCs w:val="20"/>
              </w:rPr>
            </w:pPr>
            <w:r w:rsidRPr="00B82AB5">
              <w:rPr>
                <w:bCs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bCs/>
                <w:color w:val="auto"/>
                <w:sz w:val="20"/>
                <w:szCs w:val="20"/>
              </w:rPr>
              <w:t>s_Per_Tr_а_3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bCs/>
                <w:color w:val="auto"/>
                <w:sz w:val="20"/>
                <w:szCs w:val="20"/>
              </w:rPr>
            </w:pPr>
            <w:r w:rsidRPr="00B82AB5">
              <w:rPr>
                <w:bCs/>
                <w:color w:val="auto"/>
                <w:sz w:val="20"/>
                <w:szCs w:val="20"/>
              </w:rPr>
              <w:t>Проверки и действия за освобождаване на общински територии от ИУМПС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Преминали комисия – 395 бр. ИУМПС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s_Per_Tr_а_</w:t>
            </w: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При обявяване на обществени поръчки/концесии за сключване на нови договори, за чието изпълнение е необходимо използването на транспортна техника, да се включва условие към изпълнителите за покриване на изискванията на Регламент (ЕО) №715/2007 от 20 юни 2007 год</w:t>
            </w:r>
            <w:r w:rsidRPr="00B82AB5">
              <w:rPr>
                <w:rFonts w:eastAsia="Calibri"/>
                <w:color w:val="auto"/>
                <w:sz w:val="20"/>
                <w:szCs w:val="20"/>
                <w:lang w:val="en-US"/>
              </w:rPr>
              <w:t>.</w:t>
            </w:r>
            <w:r w:rsidRPr="00B82AB5">
              <w:rPr>
                <w:rFonts w:eastAsia="Calibri"/>
                <w:color w:val="auto"/>
                <w:sz w:val="20"/>
                <w:szCs w:val="20"/>
              </w:rPr>
              <w:t xml:space="preserve"> за типово одобрение на МПС (минимум Евро 5).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</w:tcPr>
          <w:p w:rsidR="00C9254B" w:rsidRPr="00B82AB5" w:rsidRDefault="00C9254B" w:rsidP="008D2C19">
            <w:pPr>
              <w:pStyle w:val="a4"/>
              <w:ind w:left="-84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По обявена обществена поръчка за „Сметосъбиране на битови отпадъци на 13 населени места с.о. „ДЗС“, кв. „Средна кула“, кв. „Долапите“ и кв. „Образцов чифлик“ на територията на община Русе“ -специализирани сметосъбиращи автомобила: 4 бр. основни и 1 бр. резервен, както и 1бр. специализиран дезинфекциращ автомобил за измиване и дезинфекция на съдовете за битови  отпадъци.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s_Per</w:t>
            </w: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_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Tr_а_</w:t>
            </w: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 xml:space="preserve">При закупуване на нова транспортна техника за нуждите на Община Русе, да се прилагат изискванията на Регламент (ЕО) № 715/2007 на Европейския парламент и на Съвета от 20 юни 2007г. за типово одобрение на моторни превозни средства </w:t>
            </w:r>
            <w:r w:rsidRPr="00B82AB5">
              <w:rPr>
                <w:rFonts w:eastAsia="Calibri"/>
                <w:color w:val="auto"/>
                <w:sz w:val="20"/>
                <w:szCs w:val="20"/>
              </w:rPr>
              <w:lastRenderedPageBreak/>
              <w:t>по отношение на емисиите от леки превозни средства за превоз на пътници и товари - минимум Евро 5.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lastRenderedPageBreak/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Изпълняваща се </w:t>
            </w:r>
          </w:p>
        </w:tc>
        <w:tc>
          <w:tcPr>
            <w:tcW w:w="1844" w:type="dxa"/>
          </w:tcPr>
          <w:p w:rsidR="00C9254B" w:rsidRPr="00B82AB5" w:rsidRDefault="00C9254B" w:rsidP="00C9254B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67 408,78 лв. с ДДС;</w:t>
            </w:r>
          </w:p>
          <w:p w:rsidR="00C9254B" w:rsidRPr="00B82AB5" w:rsidRDefault="00C9254B" w:rsidP="008D2C19">
            <w:pPr>
              <w:pStyle w:val="a4"/>
              <w:ind w:left="0"/>
              <w:rPr>
                <w:color w:val="auto"/>
                <w:sz w:val="20"/>
                <w:szCs w:val="20"/>
              </w:rPr>
            </w:pPr>
          </w:p>
          <w:p w:rsidR="00C9254B" w:rsidRPr="00B82AB5" w:rsidRDefault="00C9254B" w:rsidP="00C9254B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197 732,40 лв. с ДДС.</w:t>
            </w:r>
          </w:p>
        </w:tc>
        <w:tc>
          <w:tcPr>
            <w:tcW w:w="3122" w:type="dxa"/>
          </w:tcPr>
          <w:p w:rsidR="00C9254B" w:rsidRPr="00B82AB5" w:rsidRDefault="00C9254B" w:rsidP="00C9254B">
            <w:pPr>
              <w:pStyle w:val="a4"/>
              <w:numPr>
                <w:ilvl w:val="0"/>
                <w:numId w:val="2"/>
              </w:numPr>
              <w:ind w:left="0" w:firstLine="35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Закупен фабрично нов автомобил с марка „Тойота“, модел „Хайлукс“-пикап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;</w:t>
            </w:r>
          </w:p>
          <w:p w:rsidR="00C9254B" w:rsidRPr="00B82AB5" w:rsidRDefault="00C9254B" w:rsidP="00C9254B">
            <w:pPr>
              <w:pStyle w:val="a4"/>
              <w:numPr>
                <w:ilvl w:val="0"/>
                <w:numId w:val="2"/>
              </w:numPr>
              <w:ind w:left="0" w:firstLine="35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 xml:space="preserve">BMC, </w:t>
            </w:r>
            <w:r w:rsidRPr="00B82AB5">
              <w:rPr>
                <w:color w:val="auto"/>
                <w:sz w:val="20"/>
                <w:szCs w:val="20"/>
              </w:rPr>
              <w:t xml:space="preserve">модел: 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TUGRA</w:t>
            </w:r>
            <w:r w:rsidRPr="00B82AB5">
              <w:rPr>
                <w:color w:val="auto"/>
                <w:sz w:val="20"/>
                <w:szCs w:val="20"/>
              </w:rPr>
              <w:t xml:space="preserve"> 2032, Евро 6 Е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lastRenderedPageBreak/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s_</w:t>
            </w: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Per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_Tr_t_1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color w:val="auto"/>
                <w:sz w:val="20"/>
                <w:szCs w:val="20"/>
              </w:rPr>
              <w:t>Системно машинно метене и миене на основната улична мрежа на града, в т.ч. периодично ръчно почистване на уличните регули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pStyle w:val="a4"/>
              <w:ind w:left="-3" w:firstLine="3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машинно метене-930 561,77 лв. с ДДС; </w:t>
            </w:r>
          </w:p>
          <w:p w:rsidR="00C9254B" w:rsidRPr="00B82AB5" w:rsidRDefault="00C9254B" w:rsidP="008D2C19">
            <w:pPr>
              <w:pStyle w:val="a4"/>
              <w:ind w:left="-3" w:firstLine="3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ръчно метене – 688 574,58 лв. с ДДС;</w:t>
            </w:r>
          </w:p>
          <w:p w:rsidR="00C9254B" w:rsidRPr="00B82AB5" w:rsidRDefault="00C9254B" w:rsidP="008D2C19">
            <w:pPr>
              <w:pStyle w:val="a4"/>
              <w:ind w:left="-3" w:firstLine="3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машинно миене – 39 243,52 лв. с ДДС;</w:t>
            </w:r>
          </w:p>
          <w:p w:rsidR="00C9254B" w:rsidRPr="00B82AB5" w:rsidRDefault="00C9254B" w:rsidP="008D2C19">
            <w:pPr>
              <w:pStyle w:val="a4"/>
              <w:ind w:left="-3" w:firstLine="3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ръчно престъргване – 310 296,42 лв. с ДДС.</w:t>
            </w:r>
          </w:p>
        </w:tc>
        <w:tc>
          <w:tcPr>
            <w:tcW w:w="3122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</w:rPr>
            </w:pPr>
          </w:p>
          <w:p w:rsidR="00C9254B" w:rsidRPr="00B82AB5" w:rsidRDefault="00C9254B" w:rsidP="008D2C19">
            <w:pPr>
              <w:rPr>
                <w:color w:val="auto"/>
                <w:sz w:val="20"/>
                <w:szCs w:val="20"/>
              </w:rPr>
            </w:pPr>
          </w:p>
          <w:p w:rsidR="00C9254B" w:rsidRPr="00B82AB5" w:rsidRDefault="00C9254B" w:rsidP="008D2C19">
            <w:pPr>
              <w:rPr>
                <w:color w:val="auto"/>
                <w:sz w:val="20"/>
                <w:szCs w:val="20"/>
              </w:rPr>
            </w:pPr>
          </w:p>
          <w:p w:rsidR="00C9254B" w:rsidRPr="00B82AB5" w:rsidRDefault="00C9254B" w:rsidP="008D2C19">
            <w:pPr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Дейностите по машинно метене и миене се изпълняват ежедневно през пролетно-летния сезон, в т.ч. ръчно метене и уборка, както и ръчно престъргване на уличните регули.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</w:t>
            </w: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_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Per_Tr_t_2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Поддържане проводимостта на оттоците и дъждоприемните шахти</w:t>
            </w: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6 848,64 лв. с ДДС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От началото на 2022 г. до момента са възложени и почистени 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 xml:space="preserve">1013 </w:t>
            </w:r>
            <w:r w:rsidRPr="00B82AB5">
              <w:rPr>
                <w:color w:val="auto"/>
                <w:sz w:val="20"/>
                <w:szCs w:val="20"/>
              </w:rPr>
              <w:t>бр. шахти.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s_Per_Tr_t_5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Подобряване и разширяване на системата за кратковременно платено паркиране „синя зона“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83 959,26 лв. с ДДС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Монтирани 7 бр. паркомати в централна градска част, предстои монтирането на още 7 бр.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b/>
                <w:color w:val="auto"/>
                <w:sz w:val="20"/>
                <w:szCs w:val="20"/>
              </w:rPr>
              <w:t>Мерки за справяне с вторичното разпрашаване (</w:t>
            </w:r>
            <w:r w:rsidRPr="00B82AB5">
              <w:rPr>
                <w:b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b/>
                <w:color w:val="auto"/>
                <w:sz w:val="20"/>
                <w:szCs w:val="20"/>
              </w:rPr>
              <w:t>s_</w:t>
            </w:r>
            <w:r w:rsidRPr="00B82AB5">
              <w:rPr>
                <w:b/>
                <w:color w:val="auto"/>
                <w:sz w:val="20"/>
                <w:szCs w:val="20"/>
                <w:lang w:val="en-US"/>
              </w:rPr>
              <w:t>Per_</w:t>
            </w:r>
            <w:r w:rsidRPr="00B82AB5">
              <w:rPr>
                <w:b/>
                <w:color w:val="auto"/>
                <w:sz w:val="20"/>
                <w:szCs w:val="20"/>
              </w:rPr>
              <w:t>Dust)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B82AB5">
              <w:rPr>
                <w:rFonts w:eastAsia="SimSun"/>
                <w:color w:val="auto"/>
                <w:sz w:val="18"/>
                <w:szCs w:val="18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18"/>
                <w:szCs w:val="18"/>
                <w:lang w:eastAsia="zh-CN"/>
              </w:rPr>
              <w:t>s_Per_</w:t>
            </w:r>
            <w:r w:rsidRPr="00B82AB5">
              <w:rPr>
                <w:rFonts w:eastAsia="SimSun"/>
                <w:color w:val="auto"/>
                <w:sz w:val="18"/>
                <w:szCs w:val="18"/>
                <w:lang w:val="en-US" w:eastAsia="zh-CN"/>
              </w:rPr>
              <w:t>Dust</w:t>
            </w:r>
            <w:r w:rsidRPr="00B82AB5">
              <w:rPr>
                <w:rFonts w:eastAsia="SimSun"/>
                <w:color w:val="auto"/>
                <w:sz w:val="18"/>
                <w:szCs w:val="18"/>
                <w:lang w:eastAsia="zh-CN"/>
              </w:rPr>
              <w:t>_а_1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b/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Контрол за възстановяване на улици и тротоари при ремонт/изграждане на елементи на техническата инфраструктура с цел недопускане на замърсяване на прилежащите площи и увеличаване на пътния нанос или ветрово запрашване.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Изпълняваща се 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Извършени 66 бр. проверки 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R</w:t>
            </w:r>
            <w:r w:rsidRPr="00B82AB5">
              <w:rPr>
                <w:bCs/>
                <w:color w:val="auto"/>
                <w:sz w:val="18"/>
                <w:szCs w:val="18"/>
              </w:rPr>
              <w:t>s_Per_</w:t>
            </w: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Dust</w:t>
            </w:r>
            <w:r w:rsidRPr="00B82AB5">
              <w:rPr>
                <w:bCs/>
                <w:color w:val="auto"/>
                <w:sz w:val="18"/>
                <w:szCs w:val="18"/>
              </w:rPr>
              <w:t>_t_3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bCs/>
                <w:color w:val="auto"/>
                <w:sz w:val="20"/>
                <w:szCs w:val="20"/>
              </w:rPr>
            </w:pPr>
            <w:r w:rsidRPr="00B82AB5">
              <w:rPr>
                <w:bCs/>
                <w:color w:val="auto"/>
                <w:sz w:val="20"/>
                <w:szCs w:val="20"/>
              </w:rPr>
              <w:t>Изграждане и рехабилитация на зелена инфраструктура в градските зони, вкл. създаване/разширяване на „зелени пояси/зони“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≈</w:t>
            </w:r>
            <w:r w:rsidRPr="00B82AB5">
              <w:rPr>
                <w:color w:val="auto"/>
                <w:sz w:val="20"/>
                <w:szCs w:val="20"/>
              </w:rPr>
              <w:t xml:space="preserve"> 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 xml:space="preserve">47 250 </w:t>
            </w:r>
            <w:r w:rsidRPr="00B82AB5">
              <w:rPr>
                <w:color w:val="auto"/>
                <w:sz w:val="20"/>
                <w:szCs w:val="20"/>
              </w:rPr>
              <w:t>лв. с ДДС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AF7F63">
              <w:rPr>
                <w:color w:val="auto"/>
                <w:sz w:val="20"/>
                <w:szCs w:val="20"/>
              </w:rPr>
              <w:t xml:space="preserve">Засадени 180 </w:t>
            </w:r>
            <w:r>
              <w:rPr>
                <w:color w:val="auto"/>
                <w:sz w:val="20"/>
                <w:szCs w:val="20"/>
              </w:rPr>
              <w:t>бр. храсти и</w:t>
            </w:r>
          </w:p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324 бр. дървета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Rs_Per_Dust_</w:t>
            </w:r>
            <w:r w:rsidRPr="00B82AB5">
              <w:rPr>
                <w:bCs/>
                <w:color w:val="auto"/>
                <w:sz w:val="18"/>
                <w:szCs w:val="18"/>
              </w:rPr>
              <w:t>а</w:t>
            </w: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_</w:t>
            </w:r>
            <w:r w:rsidRPr="00B82AB5">
              <w:rPr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rPr>
                <w:bCs/>
                <w:color w:val="auto"/>
                <w:sz w:val="20"/>
                <w:szCs w:val="20"/>
              </w:rPr>
            </w:pPr>
            <w:r w:rsidRPr="00B82AB5">
              <w:rPr>
                <w:bCs/>
                <w:color w:val="auto"/>
                <w:sz w:val="20"/>
                <w:szCs w:val="20"/>
              </w:rPr>
              <w:t>Непрекъснат контрол и санкции за замърсяване около строителни обекти.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Съставени 6 бр.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B82AB5">
              <w:rPr>
                <w:color w:val="auto"/>
                <w:sz w:val="20"/>
                <w:szCs w:val="20"/>
              </w:rPr>
              <w:t>актове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R</w:t>
            </w:r>
            <w:r w:rsidRPr="00B82AB5">
              <w:rPr>
                <w:bCs/>
                <w:color w:val="auto"/>
                <w:sz w:val="18"/>
                <w:szCs w:val="18"/>
              </w:rPr>
              <w:t>s_Per_</w:t>
            </w: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Dust</w:t>
            </w:r>
            <w:r w:rsidRPr="00B82AB5">
              <w:rPr>
                <w:bCs/>
                <w:color w:val="auto"/>
                <w:sz w:val="18"/>
                <w:szCs w:val="18"/>
              </w:rPr>
              <w:t>_t_5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rPr>
                <w:bCs/>
                <w:color w:val="auto"/>
                <w:sz w:val="20"/>
                <w:szCs w:val="20"/>
              </w:rPr>
            </w:pPr>
            <w:r w:rsidRPr="00B82AB5">
              <w:rPr>
                <w:bCs/>
                <w:color w:val="auto"/>
                <w:sz w:val="20"/>
                <w:szCs w:val="20"/>
              </w:rPr>
              <w:t>Реконструкция и рехабилитация на уличната мрежа</w:t>
            </w:r>
          </w:p>
        </w:tc>
        <w:tc>
          <w:tcPr>
            <w:tcW w:w="1426" w:type="dxa"/>
            <w:vMerge w:val="restart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Merge w:val="restart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Merge w:val="restart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796 185,55 лв. /сумата е обща за уличната мрежа и за изпълнените междублокови пространства/</w:t>
            </w:r>
          </w:p>
        </w:tc>
        <w:tc>
          <w:tcPr>
            <w:tcW w:w="3122" w:type="dxa"/>
            <w:vMerge w:val="restart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През 2022 г. е извършено цялостно преасфалтиране на 5 улици на територията на гр. Русе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,</w:t>
            </w:r>
            <w:r w:rsidRPr="00B82AB5">
              <w:rPr>
                <w:color w:val="auto"/>
                <w:sz w:val="20"/>
                <w:szCs w:val="20"/>
              </w:rPr>
              <w:t xml:space="preserve"> както и множество ремонтни дейности по тротоари, алеи, стъпала и др.</w:t>
            </w:r>
          </w:p>
        </w:tc>
        <w:tc>
          <w:tcPr>
            <w:tcW w:w="1765" w:type="dxa"/>
            <w:vMerge w:val="restart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R</w:t>
            </w:r>
            <w:r w:rsidRPr="00B82AB5">
              <w:rPr>
                <w:bCs/>
                <w:color w:val="auto"/>
                <w:sz w:val="18"/>
                <w:szCs w:val="18"/>
              </w:rPr>
              <w:t>s_Per_</w:t>
            </w: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Dust</w:t>
            </w:r>
            <w:r w:rsidRPr="00B82AB5">
              <w:rPr>
                <w:bCs/>
                <w:color w:val="auto"/>
                <w:sz w:val="18"/>
                <w:szCs w:val="18"/>
              </w:rPr>
              <w:t>_t_6</w:t>
            </w:r>
          </w:p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bCs/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Изграждане на нови паркинги и обособяване на нови места за паркиране</w:t>
            </w:r>
          </w:p>
        </w:tc>
        <w:tc>
          <w:tcPr>
            <w:tcW w:w="1426" w:type="dxa"/>
            <w:vMerge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</w:p>
        </w:tc>
        <w:tc>
          <w:tcPr>
            <w:tcW w:w="1857" w:type="dxa"/>
            <w:vMerge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  <w:vMerge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vMerge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R</w:t>
            </w:r>
            <w:r w:rsidRPr="00B82AB5">
              <w:rPr>
                <w:bCs/>
                <w:color w:val="auto"/>
                <w:sz w:val="18"/>
                <w:szCs w:val="18"/>
              </w:rPr>
              <w:t>s_Per_</w:t>
            </w: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Dust</w:t>
            </w:r>
            <w:r w:rsidRPr="00B82AB5">
              <w:rPr>
                <w:bCs/>
                <w:color w:val="auto"/>
                <w:sz w:val="18"/>
                <w:szCs w:val="18"/>
              </w:rPr>
              <w:t>_t_7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Ремонт и възстановяване на повредени тротоарни настилки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1426" w:type="dxa"/>
            <w:vMerge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vMerge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  <w:vMerge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vMerge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Rs_Per_Dust_t_</w:t>
            </w:r>
            <w:r w:rsidRPr="00B82AB5">
              <w:rPr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Редовно почистване на междублоковите пространства от отпадъци.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1 500 000 лв.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Почистени пространства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b/>
                <w:color w:val="auto"/>
                <w:sz w:val="20"/>
                <w:szCs w:val="20"/>
              </w:rPr>
              <w:lastRenderedPageBreak/>
              <w:t>Мерки с постоянен характер за разработване/актуализация на стратегически/програмни/планови/аналитични документи (</w:t>
            </w:r>
            <w:r w:rsidRPr="00B82AB5">
              <w:rPr>
                <w:b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b/>
                <w:color w:val="auto"/>
                <w:sz w:val="20"/>
                <w:szCs w:val="20"/>
              </w:rPr>
              <w:t>s_</w:t>
            </w:r>
            <w:r w:rsidRPr="00B82AB5">
              <w:rPr>
                <w:b/>
                <w:color w:val="auto"/>
                <w:sz w:val="20"/>
                <w:szCs w:val="20"/>
                <w:lang w:val="en-US"/>
              </w:rPr>
              <w:t>Per_Doc</w:t>
            </w:r>
            <w:r w:rsidRPr="00B82AB5">
              <w:rPr>
                <w:b/>
                <w:color w:val="auto"/>
                <w:sz w:val="20"/>
                <w:szCs w:val="20"/>
              </w:rPr>
              <w:t>)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R</w:t>
            </w:r>
            <w:r w:rsidRPr="00B82AB5">
              <w:rPr>
                <w:bCs/>
                <w:color w:val="auto"/>
                <w:sz w:val="18"/>
                <w:szCs w:val="18"/>
              </w:rPr>
              <w:t>s_Per_</w:t>
            </w:r>
            <w:r w:rsidRPr="00B82AB5">
              <w:rPr>
                <w:bCs/>
                <w:color w:val="auto"/>
                <w:sz w:val="18"/>
                <w:szCs w:val="18"/>
                <w:lang w:val="en-US"/>
              </w:rPr>
              <w:t>Doc</w:t>
            </w:r>
            <w:r w:rsidRPr="00B82AB5">
              <w:rPr>
                <w:bCs/>
                <w:color w:val="auto"/>
                <w:sz w:val="18"/>
                <w:szCs w:val="18"/>
              </w:rPr>
              <w:t>_а_1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Ежегоден доклад за изпълнение на Програмата за</w:t>
            </w:r>
            <w:r w:rsidRPr="00B82AB5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B82AB5">
              <w:rPr>
                <w:color w:val="auto"/>
                <w:sz w:val="20"/>
                <w:szCs w:val="20"/>
              </w:rPr>
              <w:t>подобряване качеството на атмосферния въздух на Община Русе.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Cs/>
                <w:color w:val="auto"/>
                <w:sz w:val="20"/>
                <w:szCs w:val="20"/>
              </w:rPr>
            </w:pPr>
            <w:r w:rsidRPr="00B82AB5">
              <w:rPr>
                <w:bCs/>
                <w:color w:val="auto"/>
                <w:sz w:val="20"/>
                <w:szCs w:val="20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  <w:vAlign w:val="center"/>
          </w:tcPr>
          <w:p w:rsidR="00C9254B" w:rsidRPr="00AF7F63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AF7F63">
              <w:rPr>
                <w:color w:val="auto"/>
                <w:sz w:val="20"/>
                <w:szCs w:val="20"/>
              </w:rPr>
              <w:t>С писмо, изх. №33-01-111/05.04.2022 г. е изпратена до РИОСВ-Русе.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b/>
                <w:color w:val="auto"/>
                <w:sz w:val="20"/>
                <w:szCs w:val="20"/>
              </w:rPr>
              <w:t>Обучителни и информационно-образователни мерки с постоянен характер</w:t>
            </w:r>
            <w:r w:rsidRPr="00B82AB5">
              <w:rPr>
                <w:b/>
                <w:color w:val="auto"/>
                <w:sz w:val="20"/>
                <w:szCs w:val="20"/>
                <w:lang w:val="en-US"/>
              </w:rPr>
              <w:t xml:space="preserve"> (Rs_Per_Inf)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s_Per_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Inf</w:t>
            </w:r>
            <w:r w:rsidRPr="00B82AB5">
              <w:rPr>
                <w:color w:val="auto"/>
                <w:sz w:val="20"/>
                <w:szCs w:val="20"/>
              </w:rPr>
              <w:t>_1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bCs/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Провеждане на информационни кампании за разясняване на населението на икономическите и екологични ползи от енергийната ефективност.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color w:val="auto"/>
                <w:sz w:val="20"/>
                <w:szCs w:val="20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Регулярно се провежда кампании за информиране на обществеността относно възможност за кандидатстване по процедура „Подкрепа за устойчиво енергийно обн</w:t>
            </w:r>
            <w:r>
              <w:rPr>
                <w:color w:val="auto"/>
                <w:sz w:val="20"/>
                <w:szCs w:val="20"/>
              </w:rPr>
              <w:t>овяване на жилищния сграден фонд</w:t>
            </w:r>
            <w:r w:rsidRPr="00B82AB5">
              <w:rPr>
                <w:color w:val="auto"/>
                <w:sz w:val="20"/>
                <w:szCs w:val="20"/>
              </w:rPr>
              <w:t xml:space="preserve"> – етап 1“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Брой участници</w:t>
            </w:r>
          </w:p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От 2023 г.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s_Per_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Inf</w:t>
            </w:r>
            <w:r w:rsidRPr="00B82AB5">
              <w:rPr>
                <w:color w:val="auto"/>
                <w:sz w:val="20"/>
                <w:szCs w:val="20"/>
              </w:rPr>
              <w:t>_2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Провеждане на информационни кампании за разясняване на ефектите от използването на стандартизирани горива и горивни инсталации.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color w:val="auto"/>
                <w:sz w:val="20"/>
                <w:szCs w:val="20"/>
              </w:rPr>
              <w:t>постоянен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По време на проверките за нерегламентирано изгаряне на нестандартни горивни материали за отопление се разяснява на гражданите за ефектите от използването на твърдо гориво /дърва и въглища/, както и за нерегламентираните. Насърчават се за включване към проектите за замяна на отоплителните уреди.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s_Per_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Inf</w:t>
            </w:r>
            <w:r w:rsidRPr="00B82AB5">
              <w:rPr>
                <w:color w:val="auto"/>
                <w:sz w:val="20"/>
                <w:szCs w:val="20"/>
              </w:rPr>
              <w:t>_4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Провеждане на информационни кампании за задълженията на лицата, използващи дървесина за битово отопление - Чл. 4. (3) от Наредба № 6 от 7 октомври 2019 г.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https://obshtinaruse.bg/darvesinata-za-bitovo-otoplenie-sledva-da-e-suha-i-neobrabotena-s-tsel-ogranichavane-na-vrednite-emisii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  <w:shd w:val="clear" w:color="auto" w:fill="F4B083" w:themeFill="accent2" w:themeFillTint="99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2.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ab/>
              <w:t>Краткосрочни мерки – Rs_Sh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Sh</w:t>
            </w:r>
            <w:r w:rsidRPr="00B82AB5">
              <w:rPr>
                <w:color w:val="auto"/>
                <w:sz w:val="20"/>
                <w:szCs w:val="20"/>
              </w:rPr>
              <w:t>_Dh_a_1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rPr>
                <w:b/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Обявяване на интернет страницата и на видно място в сградата на общината и кметствата изискванията към дървесината за битово отопление и начините и сроковете за съхранението й.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color w:val="auto"/>
                <w:sz w:val="20"/>
                <w:szCs w:val="20"/>
              </w:rPr>
              <w:t>2021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Не са необходими средства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https://obshtinaruse.bg/suha-i-neobrabotvana-darvesina-sledva-da-se-izpolzva-za-bitovo-otoplenie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b/>
                <w:color w:val="auto"/>
                <w:sz w:val="20"/>
                <w:szCs w:val="20"/>
              </w:rPr>
              <w:t xml:space="preserve">Краткосрочни мерки за намаляване емисиите на </w:t>
            </w:r>
            <w:r w:rsidRPr="00B82AB5">
              <w:rPr>
                <w:b/>
                <w:bCs/>
                <w:color w:val="auto"/>
                <w:sz w:val="20"/>
                <w:szCs w:val="20"/>
              </w:rPr>
              <w:t>ФПЧ</w:t>
            </w:r>
            <w:r w:rsidRPr="00B82AB5">
              <w:rPr>
                <w:b/>
                <w:bCs/>
                <w:color w:val="auto"/>
                <w:sz w:val="20"/>
                <w:szCs w:val="20"/>
                <w:vertAlign w:val="subscript"/>
              </w:rPr>
              <w:t>10</w:t>
            </w:r>
            <w:r w:rsidRPr="00B82AB5">
              <w:rPr>
                <w:b/>
                <w:bCs/>
                <w:color w:val="auto"/>
                <w:sz w:val="20"/>
                <w:szCs w:val="20"/>
              </w:rPr>
              <w:t xml:space="preserve"> от транспорта </w:t>
            </w:r>
            <w:r w:rsidRPr="00B82AB5">
              <w:rPr>
                <w:b/>
                <w:color w:val="auto"/>
                <w:sz w:val="20"/>
                <w:szCs w:val="20"/>
              </w:rPr>
              <w:t>(</w:t>
            </w:r>
            <w:r w:rsidRPr="00B82AB5">
              <w:rPr>
                <w:b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>s_Tr</w:t>
            </w:r>
            <w:r w:rsidRPr="00B82AB5">
              <w:rPr>
                <w:b/>
                <w:color w:val="auto"/>
                <w:sz w:val="20"/>
                <w:szCs w:val="20"/>
              </w:rPr>
              <w:t>)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s_Sh_Tr_</w:t>
            </w: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t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_1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 xml:space="preserve">Закупуване и доставка на 35 електрически транспортни средства за нуждите на 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lastRenderedPageBreak/>
              <w:t>обществения транспорт на община Русе. Предвижда се доставка и монтаж на 20 станции за зареждане в тролейбусно депо и 4 станции за бързо зареждане чрез пантографи.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lastRenderedPageBreak/>
              <w:t>2022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Изразходвани средства от </w:t>
            </w:r>
            <w:r w:rsidRPr="00B82AB5">
              <w:rPr>
                <w:color w:val="auto"/>
                <w:sz w:val="20"/>
                <w:szCs w:val="20"/>
              </w:rPr>
              <w:lastRenderedPageBreak/>
              <w:t>оперативна програма „Околна среда 2014-2020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82AB5">
              <w:rPr>
                <w:color w:val="auto"/>
                <w:sz w:val="20"/>
                <w:szCs w:val="20"/>
              </w:rPr>
              <w:t>г.“ в размер на 21 960 000 лева без ДДС в периода 2021-2022г. за закупуването на 20 броя нови електробуси  и станциите за тях.</w:t>
            </w:r>
          </w:p>
        </w:tc>
        <w:tc>
          <w:tcPr>
            <w:tcW w:w="3122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lastRenderedPageBreak/>
              <w:t xml:space="preserve">За периода 2021-2022г. са доставени и пуснати в </w:t>
            </w:r>
            <w:r w:rsidRPr="00B82AB5">
              <w:rPr>
                <w:color w:val="auto"/>
                <w:sz w:val="20"/>
                <w:szCs w:val="20"/>
              </w:rPr>
              <w:lastRenderedPageBreak/>
              <w:t xml:space="preserve">експлоатация 20 броя нови електробуси, както и 20 станции за зареждане в тролейбусното депо. Доставени и монтирани на крайни спирки са 4 станции за бързо зареждане чрез пантографи. 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lastRenderedPageBreak/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lastRenderedPageBreak/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s_Sh_Tr_t_2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color w:val="auto"/>
                <w:sz w:val="20"/>
                <w:szCs w:val="20"/>
              </w:rPr>
              <w:t>„Интегрирана система за градски транспорт на град Русе - 2 етап“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color w:val="auto"/>
                <w:sz w:val="20"/>
                <w:szCs w:val="20"/>
              </w:rPr>
              <w:t>2021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Изпълнена </w:t>
            </w:r>
          </w:p>
        </w:tc>
        <w:tc>
          <w:tcPr>
            <w:tcW w:w="1844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1. Изграждане на пешеходна връзка–надлез между кв. „Родина -3“ и кв. „Чародейка“ </w:t>
            </w:r>
          </w:p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2. Реконструкция на бул. „Придунавски“ и рехабилитация на 3 бр.пасарелки</w:t>
            </w:r>
          </w:p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3. Изграждане на пешеходна зона по ул. „Чипровци“ </w:t>
            </w:r>
          </w:p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4. Рехабилитация и реконструкция на ул. „Шипка“ в участъка от ул. „Чипровци“ до бул. „България“ </w:t>
            </w:r>
          </w:p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5. Реконструкция и рехабилитация на пешеходен подлез при МГ „Баба Тонка“ </w:t>
            </w:r>
          </w:p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6. Надграждане на интелигентната транспортна система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s_Sh_Tr_</w:t>
            </w: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t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_4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Реализиране на проект „Инвестиране в пътната безопасност и подобряване свързаността на Община Русе и окръг Гюргево с транспортната мрежа TEN-T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color w:val="auto"/>
                <w:sz w:val="20"/>
                <w:szCs w:val="20"/>
              </w:rPr>
              <w:t>2021</w:t>
            </w:r>
          </w:p>
        </w:tc>
        <w:tc>
          <w:tcPr>
            <w:tcW w:w="1857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Проектът е приключен на 14.02.2022 г. със заключителна пресконференция.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Стойност за Община Русе:</w:t>
            </w:r>
          </w:p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8 555 683,61 лв.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3,10 км</w:t>
            </w:r>
            <w:r w:rsidRPr="00B82AB5">
              <w:rPr>
                <w:color w:val="auto"/>
                <w:sz w:val="20"/>
                <w:szCs w:val="20"/>
              </w:rPr>
              <w:t xml:space="preserve"> - Обща дължина на реконструираните/ модернизирани пътища</w:t>
            </w:r>
          </w:p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166 300 души -   Население, обслужвано от модернизираната инфраструктура</w:t>
            </w:r>
          </w:p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s_Sh_Tr_t_5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Реализиране на проект „Добре развита транспортна система в Еврорегион Русе-Гюргево за по-добра свързаност</w:t>
            </w:r>
          </w:p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с TEN-T мрежата“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Стойност за Община Русе:</w:t>
            </w:r>
          </w:p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6 295 697,49 лв.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2000 души</w:t>
            </w:r>
          </w:p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170 участника в събития</w:t>
            </w:r>
          </w:p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11 км път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s_Sh_Tr_t_6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Изграждане, ремонт и поддържане на уличната мрежа.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796185,55 лв. /сумата е обща за уличната мрежа и </w:t>
            </w:r>
            <w:r w:rsidRPr="00B82AB5">
              <w:rPr>
                <w:color w:val="auto"/>
                <w:sz w:val="20"/>
                <w:szCs w:val="20"/>
              </w:rPr>
              <w:lastRenderedPageBreak/>
              <w:t>за изпълнените междублокови пространства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lastRenderedPageBreak/>
              <w:t xml:space="preserve">През 2022 г. са изпълнени ремонти и обновяване на 15 междублокови пространства, </w:t>
            </w:r>
            <w:r w:rsidRPr="00B82AB5">
              <w:rPr>
                <w:color w:val="auto"/>
                <w:sz w:val="20"/>
                <w:szCs w:val="20"/>
              </w:rPr>
              <w:lastRenderedPageBreak/>
              <w:t>прилежащи алеи, обслужващи пътища и тротоари към тях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lastRenderedPageBreak/>
              <w:t>Краткосрочен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b/>
                <w:bCs/>
                <w:color w:val="auto"/>
                <w:sz w:val="20"/>
                <w:szCs w:val="20"/>
              </w:rPr>
              <w:lastRenderedPageBreak/>
              <w:t>Краткосрочни мерки за справяне с вторичното разпрашаване (</w:t>
            </w:r>
            <w:r w:rsidRPr="00B82AB5">
              <w:rPr>
                <w:b/>
                <w:bCs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b/>
                <w:bCs/>
                <w:color w:val="auto"/>
                <w:sz w:val="20"/>
                <w:szCs w:val="20"/>
              </w:rPr>
              <w:t>s_</w:t>
            </w:r>
            <w:r w:rsidRPr="00B82AB5">
              <w:rPr>
                <w:b/>
                <w:bCs/>
                <w:color w:val="auto"/>
                <w:sz w:val="20"/>
                <w:szCs w:val="20"/>
                <w:lang w:val="en-US"/>
              </w:rPr>
              <w:t>Sh</w:t>
            </w:r>
            <w:r w:rsidRPr="00B82AB5">
              <w:rPr>
                <w:b/>
                <w:bCs/>
                <w:color w:val="auto"/>
                <w:sz w:val="20"/>
                <w:szCs w:val="20"/>
              </w:rPr>
              <w:t>_Dust)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Sh</w:t>
            </w:r>
            <w:r w:rsidRPr="00B82AB5">
              <w:rPr>
                <w:color w:val="auto"/>
                <w:sz w:val="20"/>
                <w:szCs w:val="20"/>
              </w:rPr>
              <w:t>_D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ust</w:t>
            </w:r>
            <w:r w:rsidRPr="00B82AB5">
              <w:rPr>
                <w:color w:val="auto"/>
                <w:sz w:val="20"/>
                <w:szCs w:val="20"/>
              </w:rPr>
              <w:t>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t</w:t>
            </w:r>
            <w:r w:rsidRPr="00B82AB5">
              <w:rPr>
                <w:color w:val="auto"/>
                <w:sz w:val="18"/>
                <w:szCs w:val="18"/>
              </w:rPr>
              <w:t>_</w:t>
            </w:r>
            <w:r w:rsidRPr="00B82AB5"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Озеленяване и поддръжка на зелените площи.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1 750 000 лв. с ДДС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Озеленени и поддържани площи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Sh</w:t>
            </w:r>
            <w:r w:rsidRPr="00B82AB5">
              <w:rPr>
                <w:color w:val="auto"/>
                <w:sz w:val="20"/>
                <w:szCs w:val="20"/>
              </w:rPr>
              <w:t>_D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ust</w:t>
            </w:r>
            <w:r w:rsidRPr="00B82AB5">
              <w:rPr>
                <w:color w:val="auto"/>
                <w:sz w:val="20"/>
                <w:szCs w:val="20"/>
              </w:rPr>
              <w:t>_t</w:t>
            </w:r>
            <w:r w:rsidRPr="00B82AB5">
              <w:rPr>
                <w:color w:val="auto"/>
                <w:sz w:val="18"/>
                <w:szCs w:val="18"/>
              </w:rPr>
              <w:t>_2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Благоустрояване на междублоковите пространства, изграждане на детски площадки и др.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300 000 лв. с ДДС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Изградени 7 бр. детски площадки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Sh</w:t>
            </w:r>
            <w:r w:rsidRPr="00B82AB5">
              <w:rPr>
                <w:color w:val="auto"/>
                <w:sz w:val="20"/>
                <w:szCs w:val="20"/>
              </w:rPr>
              <w:t>_D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ust</w:t>
            </w:r>
            <w:r w:rsidRPr="00B82AB5">
              <w:rPr>
                <w:color w:val="auto"/>
                <w:sz w:val="20"/>
                <w:szCs w:val="20"/>
              </w:rPr>
              <w:t>_t</w:t>
            </w:r>
            <w:r w:rsidRPr="00B82AB5">
              <w:rPr>
                <w:color w:val="auto"/>
                <w:sz w:val="18"/>
                <w:szCs w:val="18"/>
              </w:rPr>
              <w:t>_4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Изграждане на нови и ремонт на съществуващи паркинги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796 185,55 лв. /сумата е обща за уличната мрежа и за изпълнените междублокови пространства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През 2022 г. са изпълнени ремонти и обновяване на 15 междублокови пространства, прилежащи алеи, обслужващи пътища и тротоари към тях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Краткосрочни мерки за подобряване на мониторинга на КАВ (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s_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>Sh_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Mon)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Sh</w:t>
            </w:r>
            <w:r w:rsidRPr="00B82AB5">
              <w:rPr>
                <w:color w:val="auto"/>
                <w:sz w:val="20"/>
                <w:szCs w:val="20"/>
              </w:rPr>
              <w:t>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Mon</w:t>
            </w:r>
            <w:r w:rsidRPr="00B82AB5">
              <w:rPr>
                <w:color w:val="auto"/>
                <w:sz w:val="20"/>
                <w:szCs w:val="20"/>
              </w:rPr>
              <w:t>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t</w:t>
            </w:r>
            <w:r w:rsidRPr="00B82AB5">
              <w:rPr>
                <w:color w:val="auto"/>
                <w:sz w:val="18"/>
                <w:szCs w:val="18"/>
              </w:rPr>
              <w:t>_1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Наем и въвеждане в експлоатация на станция за измерване качеството на въздуха (Община Белене)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153 190 лв. с ДДС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  <w:lang w:eastAsia="en-US"/>
              </w:rPr>
              <w:t>От 27.07.2021 г. Община Русе разполага с нова автоматична станция за измерване на органични съединения във въздуха.</w:t>
            </w:r>
          </w:p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Sh</w:t>
            </w:r>
            <w:r w:rsidRPr="00B82AB5">
              <w:rPr>
                <w:color w:val="auto"/>
                <w:sz w:val="20"/>
                <w:szCs w:val="20"/>
              </w:rPr>
              <w:t>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Mon</w:t>
            </w:r>
            <w:r w:rsidRPr="00B82AB5">
              <w:rPr>
                <w:color w:val="auto"/>
                <w:sz w:val="20"/>
                <w:szCs w:val="20"/>
              </w:rPr>
              <w:t>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t</w:t>
            </w:r>
            <w:r w:rsidRPr="00B82AB5">
              <w:rPr>
                <w:color w:val="auto"/>
                <w:sz w:val="18"/>
                <w:szCs w:val="18"/>
              </w:rPr>
              <w:t>_2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Въвеждане в експлоатация на 2 бр. нови АИС по Проект „Българските общини работят заедно за подобряване на качеството на атмосферния въздух“, LIFE IP CLEAN AIR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153 600 лв. с ДДС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ind w:firstLine="426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  <w:lang w:eastAsia="en-US"/>
              </w:rPr>
              <w:t>На 17-ти и 18-ти септември 2020 г. се извърши доставката и монтажа на автоматичните измервателни станции за контрол на качеството на атмосферния въздух в гр. Русе.</w:t>
            </w:r>
          </w:p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  <w:lang w:eastAsia="en-US"/>
              </w:rPr>
              <w:t>От 8-ми юни 2021 г. гражданите имат възможността да проверяват дневните данни за предходния ден с показателите на автоматичните измервателни станции, които отчитат нивата на фини прахови частици в града.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Краткосрочен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Краткосрочни мерки за разработване/актуализация на стратегически/програмни/планови/ аналитични документи (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s_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>Sh_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Doc)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Краткосрочни обучителни и информационно-образователни мерки (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s_Inf)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rFonts w:eastAsia="Calibri"/>
                <w:color w:val="auto"/>
                <w:sz w:val="20"/>
                <w:szCs w:val="20"/>
              </w:rPr>
              <w:t>s_Sh_Inf_</w:t>
            </w:r>
            <w:r w:rsidRPr="00B82AB5">
              <w:rPr>
                <w:rFonts w:eastAsia="Calibri"/>
                <w:color w:val="auto"/>
                <w:sz w:val="20"/>
                <w:szCs w:val="20"/>
                <w:lang w:val="en-US"/>
              </w:rPr>
              <w:t>t</w:t>
            </w:r>
            <w:r w:rsidRPr="00B82AB5">
              <w:rPr>
                <w:rFonts w:eastAsia="Calibri"/>
                <w:color w:val="auto"/>
                <w:sz w:val="20"/>
                <w:szCs w:val="20"/>
              </w:rPr>
              <w:t>_</w:t>
            </w:r>
            <w:r w:rsidRPr="00B82AB5">
              <w:rPr>
                <w:rFonts w:eastAsia="Calibri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spacing w:before="60" w:after="60"/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Надграждане и разширяване обхвата на Системата за информиране на гражданите с данните от всички АИС.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Изпълнена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ind w:firstLine="426"/>
              <w:contextualSpacing/>
              <w:jc w:val="both"/>
              <w:rPr>
                <w:rFonts w:eastAsia="Calibri"/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От 8-ми юни 2021 г. гражданите имат възможността да проверяват дневните данни за предходния ден с показателите на автоматичните измервателни станции, които отчитат нивата на </w:t>
            </w:r>
            <w:r w:rsidRPr="00B82AB5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 xml:space="preserve">фини прахови частици в града на </w:t>
            </w:r>
            <w:r w:rsidRPr="00B82AB5">
              <w:rPr>
                <w:rFonts w:eastAsia="Calibri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следния линк: </w:t>
            </w:r>
            <w:hyperlink r:id="rId5" w:history="1">
              <w:r w:rsidRPr="00B82AB5">
                <w:rPr>
                  <w:rFonts w:eastAsia="Calibri"/>
                  <w:color w:val="auto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https://life.obshtinaruse.bg/bg/russe</w:t>
              </w:r>
            </w:hyperlink>
            <w:r w:rsidRPr="00B82AB5">
              <w:rPr>
                <w:rFonts w:eastAsia="Calibri"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lastRenderedPageBreak/>
              <w:t>Краткосрочен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  <w:shd w:val="clear" w:color="auto" w:fill="FFC000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lastRenderedPageBreak/>
              <w:t>3.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ab/>
              <w:t>Средносрочни мерки - Rs_Mt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Средносрочни мерки (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b/>
                <w:color w:val="auto"/>
                <w:sz w:val="20"/>
                <w:szCs w:val="20"/>
              </w:rPr>
              <w:t>s_</w:t>
            </w:r>
            <w:r w:rsidRPr="00B82AB5">
              <w:rPr>
                <w:b/>
                <w:color w:val="auto"/>
                <w:sz w:val="20"/>
                <w:szCs w:val="20"/>
                <w:lang w:val="en-US"/>
              </w:rPr>
              <w:t>Mt</w:t>
            </w:r>
            <w:r w:rsidRPr="00B82AB5">
              <w:rPr>
                <w:b/>
                <w:color w:val="auto"/>
                <w:sz w:val="20"/>
                <w:szCs w:val="20"/>
              </w:rPr>
              <w:t>_Dh)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за намаляване на емисиите на ФПЧ от битово отопление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s_Mt_Dh_t_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Изпълнение на Интегриран проект „Българските общини работят заедно за подобряване на качеството на атмосферния въздух” по Програма LIFE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2024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162 388,46 лв. с ДДС за 64 бр. уредите от Пилотната фаза на проекта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571 бр. одобрени кандидати от началото на проекта</w:t>
            </w:r>
            <w:r w:rsidRPr="00BF5FA2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Средносрочен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Mt</w:t>
            </w:r>
            <w:r w:rsidRPr="00B82AB5">
              <w:rPr>
                <w:color w:val="auto"/>
                <w:sz w:val="20"/>
                <w:szCs w:val="20"/>
              </w:rPr>
              <w:t>_Dh_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t</w:t>
            </w:r>
            <w:r w:rsidRPr="00B82AB5">
              <w:rPr>
                <w:color w:val="auto"/>
                <w:sz w:val="20"/>
                <w:szCs w:val="20"/>
              </w:rPr>
              <w:t>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Повишаване на ЕЕ в жилищния сграден фонд (еднофамилни и многофамилни жилищни сгради), чрез прилагане на мерки за ЕЕ.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857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Предстои изпълнение на мярката след стартиране на процедура по ПВУ</w:t>
            </w:r>
          </w:p>
        </w:tc>
        <w:tc>
          <w:tcPr>
            <w:tcW w:w="1844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Средносрочен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>Средносрочни мерки (Rs_Mt_Tr) за намаляване на емисиите на ФПЧ от транспорта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Rs_Mt_Tr_t_2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Повишаване ефективността, подобряване качеството и обхвата на общински предприятия „Паркстрой“ и „Комунални дейности“ чрез осигуряване на нови модерни машини за почистване на улици и др.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199 560 лв. с ДДС.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Закупен комбиниран багер-товарач 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Hidromek</w:t>
            </w:r>
            <w:r w:rsidRPr="00B82AB5">
              <w:rPr>
                <w:color w:val="auto"/>
                <w:sz w:val="20"/>
                <w:szCs w:val="20"/>
              </w:rPr>
              <w:t xml:space="preserve"> 102 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B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Средносрочен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Rs_Mt_Tr_t_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Оптимизиране на транспортните схеми с цел намаляване интензивността на транспорта.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Изразходвани средства през 2022 г. в размер на 34 620 лева с ДДС за дейности по разработване на маршрутни разписания за Общинската транспортна схема в част междуселищни линии и разработване за областна транспортна схема.</w:t>
            </w:r>
          </w:p>
        </w:tc>
        <w:tc>
          <w:tcPr>
            <w:tcW w:w="3122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През 2022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B82AB5">
              <w:rPr>
                <w:color w:val="auto"/>
                <w:sz w:val="20"/>
                <w:szCs w:val="20"/>
              </w:rPr>
              <w:t xml:space="preserve">г.  е извършено обследване на пътникопотока по междуселищните линии от общинската и областната транспортни схеми във връзка с оптимизиране на маршрутните разписания по транспортните схеми, спрямо основния брой пътници.  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Средносрочен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s_Mt_Tr_t_8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Ремонт на настилките на съществуващи паркинги.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796185,55 лв. /сумата е обща за уличната мрежа и </w:t>
            </w:r>
            <w:r w:rsidRPr="00B82AB5">
              <w:rPr>
                <w:color w:val="auto"/>
                <w:sz w:val="20"/>
                <w:szCs w:val="20"/>
              </w:rPr>
              <w:lastRenderedPageBreak/>
              <w:t>за изпълнените междублокови пространства</w:t>
            </w:r>
          </w:p>
        </w:tc>
        <w:tc>
          <w:tcPr>
            <w:tcW w:w="3122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lastRenderedPageBreak/>
              <w:t xml:space="preserve">През 2022 г. са изпълнени ремонти и обновяване на 15 междублокови пространства, </w:t>
            </w:r>
            <w:r w:rsidRPr="00B82AB5">
              <w:rPr>
                <w:color w:val="auto"/>
                <w:sz w:val="20"/>
                <w:szCs w:val="20"/>
              </w:rPr>
              <w:lastRenderedPageBreak/>
              <w:t>прилежащи алеи, обслужващи пътища и тротоари към тях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lastRenderedPageBreak/>
              <w:t>Средносрочен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lastRenderedPageBreak/>
              <w:t>R</w:t>
            </w:r>
            <w:r w:rsidRPr="00B82AB5">
              <w:rPr>
                <w:color w:val="auto"/>
                <w:sz w:val="20"/>
                <w:szCs w:val="20"/>
              </w:rPr>
              <w:t>s_Mt_Tr_t_9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Изграждане и поддържане на залесителни пояси по основните и най-натоварени пътни артерии.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Мярката ще се изпълнява по „Програмата за залесяване зима-пролет 2022-2023 г.“</w:t>
            </w:r>
          </w:p>
        </w:tc>
        <w:tc>
          <w:tcPr>
            <w:tcW w:w="1844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s_Mt_Tr_t_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1</w:t>
            </w:r>
            <w:r w:rsidRPr="00B82AB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Закупуване и доставка на електрически транспортни средства за нуждите на обществения транспорт на Община Русе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Прогнозна цена за  средства от оперативна програма „Околна среда 2014-2020г.“ в размер на 14 250 000 лева без ДДС през 2023г. за закупуване на 15 броя нови тролейбуси.</w:t>
            </w:r>
          </w:p>
        </w:tc>
        <w:tc>
          <w:tcPr>
            <w:tcW w:w="3122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Предстоящо сключване на договор за доставка 15 броя нови тролейбуси по проект „Подобряване качеството на атмосферния въздух чрез закупуване и доставка на електрически превозни средства за шосеен транспорт- електрически автобуси и тролейбуси за Община Русе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Средносрочен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b/>
                <w:bCs/>
                <w:color w:val="auto"/>
                <w:sz w:val="20"/>
                <w:szCs w:val="20"/>
                <w:lang w:eastAsia="zh-CN"/>
              </w:rPr>
              <w:t>Средносрочни мерки за намаляване на вторичното разпрашаване (</w:t>
            </w:r>
            <w:r w:rsidRPr="00B82AB5">
              <w:rPr>
                <w:rFonts w:eastAsia="SimSun"/>
                <w:b/>
                <w:bCs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b/>
                <w:bCs/>
                <w:color w:val="auto"/>
                <w:sz w:val="20"/>
                <w:szCs w:val="20"/>
                <w:lang w:eastAsia="zh-CN"/>
              </w:rPr>
              <w:t>s_</w:t>
            </w:r>
            <w:r w:rsidRPr="00B82AB5">
              <w:rPr>
                <w:rFonts w:eastAsia="SimSun"/>
                <w:b/>
                <w:bCs/>
                <w:color w:val="auto"/>
                <w:sz w:val="20"/>
                <w:szCs w:val="20"/>
                <w:lang w:val="en-US" w:eastAsia="zh-CN"/>
              </w:rPr>
              <w:t>Mt</w:t>
            </w:r>
            <w:r w:rsidRPr="00B82AB5">
              <w:rPr>
                <w:rFonts w:eastAsia="SimSun"/>
                <w:b/>
                <w:bCs/>
                <w:color w:val="auto"/>
                <w:sz w:val="20"/>
                <w:szCs w:val="20"/>
                <w:lang w:eastAsia="zh-CN"/>
              </w:rPr>
              <w:t>_Dust)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Rs_Mt_Dust_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t</w:t>
            </w:r>
            <w:r w:rsidRPr="00B82AB5">
              <w:rPr>
                <w:color w:val="auto"/>
                <w:sz w:val="20"/>
                <w:szCs w:val="20"/>
              </w:rPr>
              <w:t>_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Облагородяване на вътрешноквартални пространства. Създаване на регистър на граждански инициативи за подобряване на градската среда и подпомагане при реализиране.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1 200 лв. с ДДС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Създаден </w:t>
            </w:r>
            <w:r w:rsidRPr="00B82AB5">
              <w:rPr>
                <w:rFonts w:eastAsia="Calibri"/>
                <w:color w:val="auto"/>
                <w:sz w:val="20"/>
                <w:szCs w:val="20"/>
                <w:lang w:eastAsia="en-US"/>
              </w:rPr>
              <w:t>Фонд за „Граждански инициативи“ – към 14.12.2022 г. одобрени 4 бр. проекти.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Средносрочен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  <w:shd w:val="clear" w:color="auto" w:fill="92D050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4.</w:t>
            </w:r>
            <w:r w:rsidRPr="00B82AB5">
              <w:rPr>
                <w:color w:val="auto"/>
                <w:sz w:val="20"/>
                <w:szCs w:val="20"/>
                <w:lang w:val="en-US"/>
              </w:rPr>
              <w:tab/>
              <w:t>Дългосрочни мерки - Rs_Lt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b/>
                <w:bCs/>
                <w:color w:val="auto"/>
                <w:sz w:val="20"/>
                <w:szCs w:val="20"/>
              </w:rPr>
              <w:t>Дългосрочни мерки (</w:t>
            </w:r>
            <w:r w:rsidRPr="00B82AB5">
              <w:rPr>
                <w:b/>
                <w:bCs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b/>
                <w:bCs/>
                <w:color w:val="auto"/>
                <w:sz w:val="20"/>
                <w:szCs w:val="20"/>
              </w:rPr>
              <w:t>s_</w:t>
            </w:r>
            <w:r w:rsidRPr="00B82AB5">
              <w:rPr>
                <w:b/>
                <w:bCs/>
                <w:color w:val="auto"/>
                <w:sz w:val="20"/>
                <w:szCs w:val="20"/>
                <w:lang w:val="en-US"/>
              </w:rPr>
              <w:t>Lt</w:t>
            </w:r>
            <w:r w:rsidRPr="00B82AB5">
              <w:rPr>
                <w:b/>
                <w:bCs/>
                <w:color w:val="auto"/>
                <w:sz w:val="20"/>
                <w:szCs w:val="20"/>
              </w:rPr>
              <w:t>_Dh) за намаляване на емисиите на ФПЧ</w:t>
            </w:r>
            <w:r w:rsidRPr="00B82AB5">
              <w:rPr>
                <w:b/>
                <w:bCs/>
                <w:color w:val="auto"/>
                <w:sz w:val="20"/>
                <w:szCs w:val="20"/>
                <w:vertAlign w:val="subscript"/>
              </w:rPr>
              <w:t>10</w:t>
            </w:r>
            <w:r w:rsidRPr="00B82AB5">
              <w:rPr>
                <w:b/>
                <w:bCs/>
                <w:color w:val="auto"/>
                <w:sz w:val="20"/>
                <w:szCs w:val="20"/>
              </w:rPr>
              <w:t xml:space="preserve"> от битово отопление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color w:val="auto"/>
                <w:sz w:val="20"/>
                <w:szCs w:val="20"/>
              </w:rPr>
              <w:t>s_Lt_Dh_t_3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Насърчаване използването на ВЕИ, водород и други иновационни алтернативи</w:t>
            </w:r>
            <w:r w:rsidRPr="00B82AB5">
              <w:rPr>
                <w:rFonts w:eastAsia="Calibri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857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Русе ниско въглероден град по договор №2022-344/04.05.2022, сключен с Енергийни градове, VAT FR55379716764. Проектът е одобрен за финансиране от Европейската комисия и през м. април 2022 г. е подписан  договор.  </w:t>
            </w:r>
            <w:r w:rsidRPr="00B82AB5">
              <w:rPr>
                <w:color w:val="auto"/>
                <w:sz w:val="20"/>
                <w:szCs w:val="20"/>
              </w:rPr>
              <w:lastRenderedPageBreak/>
              <w:t>Финансирането е одобрено за изготвяне на инвестиционна концепция за набор от мерки. Намаляването на емисиите се очаква да бъде постигнато ( CO2) чрез закупуване на 20 водородни автобуса, които ще заменят 14 дванадесетметрови дизелови автобуса, ще бъде изграден фотоволтаичен парк.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lastRenderedPageBreak/>
              <w:t>117 348,00 лв.</w:t>
            </w:r>
          </w:p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(60 000 евро)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Очаквани енергийни спестявания 46.050 ГВч/г.</w:t>
            </w:r>
          </w:p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Очаквано производство на възобновяема енергия 2.800 ГВч/г.</w:t>
            </w:r>
          </w:p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t>Очаквано намаление на въглеродни емисии на CO2 22247 t CO2eq/година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lastRenderedPageBreak/>
              <w:t>R</w:t>
            </w:r>
            <w:r w:rsidRPr="00B82AB5">
              <w:rPr>
                <w:color w:val="auto"/>
                <w:sz w:val="20"/>
                <w:szCs w:val="20"/>
              </w:rPr>
              <w:t>s_Lt_Dh_t_4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Комбиниране на мерките по Енергийна ефективност в сградния фонд с мерки по въвеждане на ВЕИ - слънчеви термични</w:t>
            </w:r>
            <w:r w:rsidRPr="00B82AB5">
              <w:rPr>
                <w:rFonts w:eastAsia="Calibri"/>
                <w:color w:val="auto"/>
                <w:sz w:val="20"/>
                <w:szCs w:val="20"/>
                <w:lang w:val="en-US"/>
              </w:rPr>
              <w:t xml:space="preserve"> </w:t>
            </w:r>
            <w:r w:rsidRPr="00B82AB5">
              <w:rPr>
                <w:rFonts w:eastAsia="Calibri"/>
                <w:color w:val="auto"/>
                <w:sz w:val="20"/>
                <w:szCs w:val="20"/>
              </w:rPr>
              <w:t>колектори и др.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2025</w:t>
            </w:r>
          </w:p>
        </w:tc>
        <w:tc>
          <w:tcPr>
            <w:tcW w:w="1857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В ПИРО 2021-2027 г. са заложени следните мерки за изпълнение:</w:t>
            </w:r>
          </w:p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Реализиране на проекти за енергийна ефективност и използване на ВЕИ в административни обществени (публични) сгради;</w:t>
            </w:r>
          </w:p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Реализиране на проекти за енергийна ефективност и използване на ВЕИ в специализирани обществени (публични) сгради</w:t>
            </w:r>
          </w:p>
        </w:tc>
        <w:tc>
          <w:tcPr>
            <w:tcW w:w="1844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>Дългосрочни мерки за намаляване емисиите на ФПЧ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vertAlign w:val="subscript"/>
                <w:lang w:eastAsia="zh-CN"/>
              </w:rPr>
              <w:t>10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 xml:space="preserve"> от транспорта (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>s_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val="en-US" w:eastAsia="zh-CN"/>
              </w:rPr>
              <w:t>Lt_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>Tr)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s_</w:t>
            </w: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Lt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_Tr_</w:t>
            </w: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t</w:t>
            </w: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_1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Въвеждане на зона/и с ниски емисии и ограничаване движението на МПС по определени улици при необходимост.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2026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35 160 лв. с ДДС</w:t>
            </w:r>
          </w:p>
        </w:tc>
        <w:tc>
          <w:tcPr>
            <w:tcW w:w="3122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През февруари 2022 г. е изготвена Методика за въвеждане на зони с ниски емисии в гр. Русе.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color w:val="auto"/>
                <w:sz w:val="20"/>
                <w:szCs w:val="20"/>
                <w:lang w:val="en-US"/>
              </w:rPr>
              <w:lastRenderedPageBreak/>
              <w:t>R</w:t>
            </w:r>
            <w:r w:rsidRPr="00B82AB5">
              <w:rPr>
                <w:color w:val="auto"/>
                <w:sz w:val="20"/>
                <w:szCs w:val="20"/>
              </w:rPr>
              <w:t>s_Mt_Tr_t_3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Закупуване и доставка на електрически транспортни средства за нуждите на обществения транспорт на Община Русе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2026</w:t>
            </w:r>
          </w:p>
        </w:tc>
        <w:tc>
          <w:tcPr>
            <w:tcW w:w="1857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В проект е подмяната на целия автопарк на „Общински транспорт Русе“ ЕАД, включващо подмяна на 35 броя тролейбуси и закупуване на 60 броя автобуси.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 xml:space="preserve">Дългосрочни мерки за намаляване на вторичното разпрашаване 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val="en-US" w:eastAsia="zh-CN"/>
              </w:rPr>
              <w:t>- R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>s_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val="en-US" w:eastAsia="zh-CN"/>
              </w:rPr>
              <w:t>L</w:t>
            </w:r>
            <w:r w:rsidRPr="00B82AB5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>t_Dust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18"/>
                <w:szCs w:val="18"/>
                <w:lang w:val="en-US" w:eastAsia="zh-CN"/>
              </w:rPr>
            </w:pPr>
            <w:r w:rsidRPr="00B82AB5">
              <w:rPr>
                <w:rFonts w:eastAsia="SimSun"/>
                <w:color w:val="auto"/>
                <w:sz w:val="18"/>
                <w:szCs w:val="18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18"/>
                <w:szCs w:val="18"/>
                <w:lang w:eastAsia="zh-CN"/>
              </w:rPr>
              <w:t>s_Lt_</w:t>
            </w:r>
            <w:r w:rsidRPr="00B82AB5">
              <w:rPr>
                <w:rFonts w:eastAsia="SimSun"/>
                <w:color w:val="auto"/>
                <w:sz w:val="18"/>
                <w:szCs w:val="18"/>
                <w:lang w:val="en-US" w:eastAsia="zh-CN"/>
              </w:rPr>
              <w:t>Dust</w:t>
            </w:r>
            <w:r w:rsidRPr="00B82AB5">
              <w:rPr>
                <w:rFonts w:eastAsia="SimSun"/>
                <w:color w:val="auto"/>
                <w:sz w:val="18"/>
                <w:szCs w:val="18"/>
                <w:lang w:eastAsia="zh-CN"/>
              </w:rPr>
              <w:t>_t_1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rFonts w:eastAsia="Calibri"/>
                <w:color w:val="auto"/>
                <w:sz w:val="20"/>
                <w:szCs w:val="20"/>
              </w:rPr>
              <w:t>Реконструкция и рехабилитация на: междублокови пространства, улична мрежа, зони за обществен отдих, включително градско обзавеждане и озеленяване</w:t>
            </w:r>
            <w:r w:rsidRPr="00B82AB5">
              <w:rPr>
                <w:rFonts w:eastAsia="Calibri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val="en-US"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val="en-US" w:eastAsia="zh-CN"/>
              </w:rPr>
              <w:t>2026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</w:tcPr>
          <w:p w:rsidR="00C9254B" w:rsidRPr="00B82AB5" w:rsidRDefault="00C9254B" w:rsidP="00C9254B">
            <w:pPr>
              <w:pStyle w:val="a4"/>
              <w:numPr>
                <w:ilvl w:val="0"/>
                <w:numId w:val="3"/>
              </w:numPr>
              <w:ind w:left="0" w:firstLine="33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36 000 лв. с ДДС;</w:t>
            </w:r>
          </w:p>
          <w:p w:rsidR="00C9254B" w:rsidRPr="00B82AB5" w:rsidRDefault="00C9254B" w:rsidP="00C9254B">
            <w:pPr>
              <w:pStyle w:val="a4"/>
              <w:numPr>
                <w:ilvl w:val="0"/>
                <w:numId w:val="3"/>
              </w:numPr>
              <w:ind w:left="0" w:firstLine="33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35 997 лв. с ДДС.</w:t>
            </w:r>
          </w:p>
        </w:tc>
        <w:tc>
          <w:tcPr>
            <w:tcW w:w="3122" w:type="dxa"/>
          </w:tcPr>
          <w:p w:rsidR="00C9254B" w:rsidRPr="00B82AB5" w:rsidRDefault="00C9254B" w:rsidP="00C9254B">
            <w:pPr>
              <w:pStyle w:val="a4"/>
              <w:numPr>
                <w:ilvl w:val="0"/>
                <w:numId w:val="4"/>
              </w:numPr>
              <w:ind w:left="40" w:firstLine="0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Закупени 250 бр. комплекта метални паркови кошчета;</w:t>
            </w:r>
          </w:p>
          <w:p w:rsidR="00C9254B" w:rsidRPr="00B82AB5" w:rsidRDefault="00C9254B" w:rsidP="00C9254B">
            <w:pPr>
              <w:pStyle w:val="a4"/>
              <w:numPr>
                <w:ilvl w:val="0"/>
                <w:numId w:val="4"/>
              </w:numPr>
              <w:ind w:left="40" w:firstLine="0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Закупени 90 бр. пейки.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rFonts w:eastAsia="SimSun"/>
                <w:color w:val="auto"/>
                <w:sz w:val="18"/>
                <w:szCs w:val="18"/>
                <w:lang w:val="en-US" w:eastAsia="zh-CN"/>
              </w:rPr>
            </w:pPr>
            <w:r w:rsidRPr="00B82AB5">
              <w:rPr>
                <w:rFonts w:eastAsia="SimSun"/>
                <w:color w:val="auto"/>
                <w:sz w:val="18"/>
                <w:szCs w:val="18"/>
                <w:lang w:val="en-US" w:eastAsia="zh-CN"/>
              </w:rPr>
              <w:t>R</w:t>
            </w:r>
            <w:r w:rsidRPr="00B82AB5">
              <w:rPr>
                <w:rFonts w:eastAsia="SimSun"/>
                <w:color w:val="auto"/>
                <w:sz w:val="18"/>
                <w:szCs w:val="18"/>
                <w:lang w:eastAsia="zh-CN"/>
              </w:rPr>
              <w:t>s_Lt_Dust_t_2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 xml:space="preserve">Прилагане на зелени решения за адаптиране на градската среда към изменение на климатичните промени. </w:t>
            </w:r>
            <w:r w:rsidRPr="00B82AB5">
              <w:rPr>
                <w:rFonts w:eastAsia="Calibri"/>
                <w:color w:val="auto"/>
                <w:sz w:val="20"/>
                <w:szCs w:val="20"/>
              </w:rPr>
              <w:t>Развитие на парковите зони. Разширяване и благоустрояване на съществуващи.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B82AB5">
              <w:rPr>
                <w:rFonts w:eastAsia="SimSun"/>
                <w:color w:val="auto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Изпълняваща се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397 078 лв. с ДДС.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Създаване на иновативни зони с цел борба с ефекта на топлинния остров в урбанизирана територия</w:t>
            </w: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Дългосрочен</w:t>
            </w:r>
          </w:p>
        </w:tc>
      </w:tr>
      <w:tr w:rsidR="00C9254B" w:rsidRPr="00B82AB5" w:rsidTr="008D2C19">
        <w:tc>
          <w:tcPr>
            <w:tcW w:w="15593" w:type="dxa"/>
            <w:gridSpan w:val="7"/>
          </w:tcPr>
          <w:p w:rsidR="00C9254B" w:rsidRPr="00B82AB5" w:rsidRDefault="00C9254B" w:rsidP="008D2C19">
            <w:pPr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Дългосрочни обучителни и информационно-образователни мерки (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>R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s_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>Lt_</w:t>
            </w:r>
            <w:r w:rsidRPr="00B82AB5">
              <w:rPr>
                <w:rFonts w:eastAsia="Calibri"/>
                <w:b/>
                <w:bCs/>
                <w:color w:val="auto"/>
                <w:sz w:val="20"/>
                <w:szCs w:val="20"/>
              </w:rPr>
              <w:t>Inf)</w:t>
            </w:r>
          </w:p>
        </w:tc>
      </w:tr>
      <w:tr w:rsidR="00C9254B" w:rsidRPr="00B82AB5" w:rsidTr="008D2C19">
        <w:tc>
          <w:tcPr>
            <w:tcW w:w="1685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ind w:left="-142" w:right="-74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B82AB5">
              <w:rPr>
                <w:bCs/>
                <w:color w:val="auto"/>
                <w:sz w:val="20"/>
                <w:szCs w:val="20"/>
                <w:lang w:val="en-US"/>
              </w:rPr>
              <w:t>Rs_Lt_Inf_1</w:t>
            </w:r>
          </w:p>
        </w:tc>
        <w:tc>
          <w:tcPr>
            <w:tcW w:w="3894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both"/>
              <w:rPr>
                <w:bCs/>
                <w:color w:val="auto"/>
                <w:sz w:val="20"/>
                <w:szCs w:val="20"/>
              </w:rPr>
            </w:pPr>
            <w:r w:rsidRPr="00B82AB5">
              <w:rPr>
                <w:bCs/>
                <w:color w:val="auto"/>
                <w:sz w:val="20"/>
                <w:szCs w:val="20"/>
              </w:rPr>
              <w:t>Провеждане на информационни кампании относно енергийната ефективност и използването на ВЕИ</w:t>
            </w:r>
          </w:p>
        </w:tc>
        <w:tc>
          <w:tcPr>
            <w:tcW w:w="1426" w:type="dxa"/>
            <w:vAlign w:val="center"/>
          </w:tcPr>
          <w:p w:rsidR="00C9254B" w:rsidRPr="00B82AB5" w:rsidRDefault="00C9254B" w:rsidP="008D2C19">
            <w:pPr>
              <w:tabs>
                <w:tab w:val="left" w:pos="3654"/>
              </w:tabs>
              <w:jc w:val="center"/>
              <w:rPr>
                <w:bCs/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857" w:type="dxa"/>
            <w:vAlign w:val="center"/>
          </w:tcPr>
          <w:p w:rsidR="00C9254B" w:rsidRPr="00B82AB5" w:rsidRDefault="00C9254B" w:rsidP="008D2C19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Регулярно се провежда кампании за информиране на обществеността относно възможност за кандидатстване по процедура „Подкрепа за устойчиво енергийно обновяване на жилищния сграден фонф – етап 1“</w:t>
            </w:r>
          </w:p>
        </w:tc>
        <w:tc>
          <w:tcPr>
            <w:tcW w:w="1844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122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</w:rPr>
            </w:pPr>
            <w:r w:rsidRPr="00B82AB5">
              <w:rPr>
                <w:color w:val="auto"/>
                <w:sz w:val="20"/>
                <w:szCs w:val="20"/>
              </w:rPr>
              <w:t>Брой участници</w:t>
            </w:r>
          </w:p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vAlign w:val="center"/>
          </w:tcPr>
          <w:p w:rsidR="00C9254B" w:rsidRPr="00B82AB5" w:rsidRDefault="00C9254B" w:rsidP="008D2C19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B82AB5">
              <w:rPr>
                <w:color w:val="auto"/>
                <w:sz w:val="20"/>
                <w:szCs w:val="20"/>
              </w:rPr>
              <w:t>От 2023 г.</w:t>
            </w:r>
          </w:p>
        </w:tc>
      </w:tr>
    </w:tbl>
    <w:p w:rsidR="00C9254B" w:rsidRPr="00B82AB5" w:rsidRDefault="00C9254B" w:rsidP="00C9254B">
      <w:pPr>
        <w:rPr>
          <w:color w:val="auto"/>
          <w:sz w:val="20"/>
          <w:szCs w:val="20"/>
          <w:lang w:val="en-US"/>
        </w:rPr>
      </w:pPr>
    </w:p>
    <w:p w:rsidR="004864C1" w:rsidRDefault="004864C1"/>
    <w:p w:rsidR="00C9254B" w:rsidRDefault="00C9254B"/>
    <w:p w:rsidR="00C9254B" w:rsidRDefault="00C9254B"/>
    <w:p w:rsidR="00C9254B" w:rsidRDefault="00C9254B"/>
    <w:p w:rsidR="00C9254B" w:rsidRDefault="00C9254B">
      <w:bookmarkStart w:id="1" w:name="_GoBack"/>
      <w:bookmarkEnd w:id="1"/>
    </w:p>
    <w:p w:rsidR="00C9254B" w:rsidRPr="001A275F" w:rsidRDefault="00C9254B" w:rsidP="00C9254B">
      <w:pPr>
        <w:contextualSpacing/>
        <w:jc w:val="both"/>
        <w:rPr>
          <w:b/>
          <w:sz w:val="28"/>
          <w:szCs w:val="28"/>
        </w:rPr>
      </w:pPr>
      <w:r w:rsidRPr="001A275F">
        <w:rPr>
          <w:b/>
          <w:sz w:val="28"/>
          <w:szCs w:val="28"/>
        </w:rPr>
        <w:t>ПРЕДСЕДАТЕЛ:</w:t>
      </w:r>
    </w:p>
    <w:p w:rsidR="00C9254B" w:rsidRPr="001A275F" w:rsidRDefault="00C9254B" w:rsidP="00C9254B">
      <w:pPr>
        <w:autoSpaceDE w:val="0"/>
        <w:autoSpaceDN w:val="0"/>
        <w:adjustRightInd w:val="0"/>
        <w:ind w:firstLine="708"/>
        <w:contextualSpacing/>
      </w:pPr>
      <w:r w:rsidRPr="001A275F">
        <w:rPr>
          <w:rFonts w:eastAsia="Calibri"/>
          <w:b/>
          <w:sz w:val="28"/>
          <w:szCs w:val="28"/>
        </w:rPr>
        <w:tab/>
      </w:r>
      <w:r w:rsidRPr="001A275F">
        <w:rPr>
          <w:rFonts w:eastAsia="Calibri"/>
          <w:b/>
          <w:sz w:val="28"/>
          <w:szCs w:val="28"/>
        </w:rPr>
        <w:tab/>
        <w:t>(</w:t>
      </w:r>
      <w:r w:rsidRPr="001A275F">
        <w:rPr>
          <w:rFonts w:eastAsia="Calibri"/>
          <w:b/>
          <w:bCs/>
          <w:sz w:val="28"/>
          <w:szCs w:val="28"/>
        </w:rPr>
        <w:t>Иво Пазарджиев</w:t>
      </w:r>
      <w:r w:rsidRPr="001A275F">
        <w:rPr>
          <w:rFonts w:eastAsia="Calibri"/>
          <w:b/>
          <w:sz w:val="28"/>
          <w:szCs w:val="28"/>
        </w:rPr>
        <w:t>)</w:t>
      </w:r>
    </w:p>
    <w:p w:rsidR="00C9254B" w:rsidRDefault="00C9254B"/>
    <w:sectPr w:rsidR="00C9254B" w:rsidSect="00C9254B">
      <w:headerReference w:type="default" r:id="rId6"/>
      <w:footerReference w:type="default" r:id="rId7"/>
      <w:footerReference w:type="first" r:id="rId8"/>
      <w:pgSz w:w="16837" w:h="11905" w:orient="landscape"/>
      <w:pgMar w:top="851" w:right="1232" w:bottom="993" w:left="1962" w:header="0" w:footer="14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8713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C5647" w:rsidRDefault="00C9254B">
            <w:pPr>
              <w:pStyle w:val="a7"/>
              <w:jc w:val="center"/>
            </w:pPr>
            <w:r>
              <w:t xml:space="preserve">Стр.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C5647" w:rsidRDefault="00C925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3360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C5647" w:rsidRDefault="00C9254B" w:rsidP="009C342E">
            <w:pPr>
              <w:pStyle w:val="a7"/>
              <w:shd w:val="clear" w:color="auto" w:fill="FFFFFF" w:themeFill="background1"/>
              <w:jc w:val="right"/>
            </w:pPr>
            <w:r w:rsidRPr="009C342E">
              <w:rPr>
                <w:i/>
                <w:shd w:val="clear" w:color="auto" w:fill="FFFFFF" w:themeFill="background1"/>
              </w:rPr>
              <w:t xml:space="preserve">Стр. </w:t>
            </w:r>
            <w:r w:rsidRPr="009C342E">
              <w:rPr>
                <w:b/>
                <w:bCs/>
                <w:i/>
                <w:shd w:val="clear" w:color="auto" w:fill="FFFFFF" w:themeFill="background1"/>
              </w:rPr>
              <w:fldChar w:fldCharType="begin"/>
            </w:r>
            <w:r w:rsidRPr="009C342E">
              <w:rPr>
                <w:b/>
                <w:bCs/>
                <w:i/>
                <w:shd w:val="clear" w:color="auto" w:fill="FFFFFF" w:themeFill="background1"/>
              </w:rPr>
              <w:instrText xml:space="preserve"> PAGE </w:instrText>
            </w:r>
            <w:r w:rsidRPr="009C342E">
              <w:rPr>
                <w:b/>
                <w:bCs/>
                <w:i/>
                <w:shd w:val="clear" w:color="auto" w:fill="FFFFFF" w:themeFill="background1"/>
              </w:rPr>
              <w:fldChar w:fldCharType="separate"/>
            </w:r>
            <w:r>
              <w:rPr>
                <w:b/>
                <w:bCs/>
                <w:i/>
                <w:noProof/>
                <w:shd w:val="clear" w:color="auto" w:fill="FFFFFF" w:themeFill="background1"/>
              </w:rPr>
              <w:t>1</w:t>
            </w:r>
            <w:r w:rsidRPr="009C342E">
              <w:rPr>
                <w:b/>
                <w:bCs/>
                <w:i/>
                <w:shd w:val="clear" w:color="auto" w:fill="FFFFFF" w:themeFill="background1"/>
              </w:rPr>
              <w:fldChar w:fldCharType="end"/>
            </w:r>
            <w:r w:rsidRPr="009C342E">
              <w:rPr>
                <w:i/>
                <w:shd w:val="clear" w:color="auto" w:fill="FFFFFF" w:themeFill="background1"/>
              </w:rPr>
              <w:t xml:space="preserve"> от </w:t>
            </w:r>
            <w:r w:rsidRPr="009C342E">
              <w:rPr>
                <w:b/>
                <w:bCs/>
                <w:i/>
                <w:shd w:val="clear" w:color="auto" w:fill="FFFFFF" w:themeFill="background1"/>
              </w:rPr>
              <w:fldChar w:fldCharType="begin"/>
            </w:r>
            <w:r w:rsidRPr="009C342E">
              <w:rPr>
                <w:b/>
                <w:bCs/>
                <w:i/>
                <w:shd w:val="clear" w:color="auto" w:fill="FFFFFF" w:themeFill="background1"/>
              </w:rPr>
              <w:instrText xml:space="preserve"> NUMPAGES  </w:instrText>
            </w:r>
            <w:r w:rsidRPr="009C342E">
              <w:rPr>
                <w:b/>
                <w:bCs/>
                <w:i/>
                <w:shd w:val="clear" w:color="auto" w:fill="FFFFFF" w:themeFill="background1"/>
              </w:rPr>
              <w:fldChar w:fldCharType="separate"/>
            </w:r>
            <w:r>
              <w:rPr>
                <w:b/>
                <w:bCs/>
                <w:i/>
                <w:noProof/>
                <w:shd w:val="clear" w:color="auto" w:fill="FFFFFF" w:themeFill="background1"/>
              </w:rPr>
              <w:t>1</w:t>
            </w:r>
            <w:r w:rsidRPr="009C342E">
              <w:rPr>
                <w:b/>
                <w:bCs/>
                <w:i/>
                <w:shd w:val="clear" w:color="auto" w:fill="FFFFFF" w:themeFill="background1"/>
              </w:rPr>
              <w:fldChar w:fldCharType="end"/>
            </w:r>
          </w:p>
        </w:sdtContent>
      </w:sdt>
    </w:sdtContent>
  </w:sdt>
  <w:p w:rsidR="002C5647" w:rsidRDefault="00C9254B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47" w:rsidRDefault="00C9254B">
    <w:pPr>
      <w:pStyle w:val="a5"/>
    </w:pPr>
    <w:r w:rsidRPr="00133DF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2E3BE8C" wp14:editId="1611BB4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C5647" w:rsidRDefault="00C9254B" w:rsidP="005A6B4F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3BE8C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2C5647" w:rsidRDefault="00C9254B" w:rsidP="005A6B4F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133DF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4B6CE3" wp14:editId="059D1A3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2C5647" w:rsidRPr="00133DF7" w:rsidRDefault="00C9254B" w:rsidP="005A6B4F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 w:rsidRPr="00133DF7">
                            <w:rPr>
                              <w:color w:val="FFFFFF" w:themeColor="background1"/>
                              <w14:numForm w14:val="lining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4B6CE3" id="Text Box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:rsidR="002C5647" w:rsidRPr="00133DF7" w:rsidRDefault="00C9254B" w:rsidP="005A6B4F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 w:rsidRPr="00133DF7">
                      <w:rPr>
                        <w:color w:val="FFFFFF" w:themeColor="background1"/>
                        <w14:numForm w14:val="lining"/>
                      </w:rPr>
                      <w:t>2022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64C5"/>
    <w:multiLevelType w:val="hybridMultilevel"/>
    <w:tmpl w:val="A296E5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779E"/>
    <w:multiLevelType w:val="hybridMultilevel"/>
    <w:tmpl w:val="C86A4204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1D20"/>
    <w:multiLevelType w:val="hybridMultilevel"/>
    <w:tmpl w:val="437A07C6"/>
    <w:lvl w:ilvl="0" w:tplc="B7D84B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820628"/>
    <w:multiLevelType w:val="hybridMultilevel"/>
    <w:tmpl w:val="AB102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4B"/>
    <w:rsid w:val="004864C1"/>
    <w:rsid w:val="00615EA5"/>
    <w:rsid w:val="00C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3578"/>
  <w15:chartTrackingRefBased/>
  <w15:docId w15:val="{7D86994D-5583-45A1-9D15-068D9CF2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54B"/>
    <w:pPr>
      <w:ind w:left="708"/>
    </w:pPr>
  </w:style>
  <w:style w:type="paragraph" w:styleId="a5">
    <w:name w:val="header"/>
    <w:basedOn w:val="a"/>
    <w:link w:val="a6"/>
    <w:uiPriority w:val="99"/>
    <w:rsid w:val="00C9254B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C9254B"/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rsid w:val="00C9254B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C9254B"/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life.obshtinaruse.bg/bg/rus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Общински Съвет Русе</Company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1</cp:revision>
  <dcterms:created xsi:type="dcterms:W3CDTF">2023-03-17T09:16:00Z</dcterms:created>
  <dcterms:modified xsi:type="dcterms:W3CDTF">2023-03-17T09:17:00Z</dcterms:modified>
</cp:coreProperties>
</file>