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0694" w14:textId="77777777" w:rsidR="007F4BD8" w:rsidRPr="00EB2488" w:rsidRDefault="007F4BD8" w:rsidP="007F4BD8">
      <w:pPr>
        <w:pStyle w:val="a9"/>
        <w:spacing w:line="259" w:lineRule="auto"/>
      </w:pPr>
      <w:r w:rsidRPr="00EB2488">
        <w:rPr>
          <w:w w:val="120"/>
        </w:rPr>
        <w:t>Община Русе открива производство по издаване на общ административен акт - актуализиране на минимални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и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максимални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цени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за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таксиметров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превоз</w:t>
      </w:r>
      <w:r w:rsidRPr="00EB2488">
        <w:rPr>
          <w:spacing w:val="-23"/>
          <w:w w:val="120"/>
        </w:rPr>
        <w:t xml:space="preserve"> </w:t>
      </w:r>
      <w:r w:rsidRPr="00EB2488">
        <w:rPr>
          <w:w w:val="120"/>
        </w:rPr>
        <w:t>на пътници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на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територията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на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Община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Русе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>за</w:t>
      </w:r>
      <w:r w:rsidRPr="00EB2488">
        <w:rPr>
          <w:spacing w:val="-3"/>
          <w:w w:val="120"/>
        </w:rPr>
        <w:t xml:space="preserve"> </w:t>
      </w:r>
      <w:r w:rsidRPr="00EB2488">
        <w:rPr>
          <w:w w:val="120"/>
        </w:rPr>
        <w:t xml:space="preserve">2026 </w:t>
      </w:r>
      <w:r w:rsidRPr="00EB2488">
        <w:rPr>
          <w:spacing w:val="-10"/>
          <w:w w:val="120"/>
        </w:rPr>
        <w:t>г</w:t>
      </w:r>
    </w:p>
    <w:p w14:paraId="68121981" w14:textId="77777777" w:rsidR="007F4BD8" w:rsidRPr="00EB2488" w:rsidRDefault="007F4BD8" w:rsidP="007F4BD8">
      <w:pPr>
        <w:pStyle w:val="ab"/>
        <w:spacing w:before="215"/>
        <w:ind w:left="142"/>
      </w:pPr>
    </w:p>
    <w:p w14:paraId="19695D7B" w14:textId="77777777" w:rsidR="007F4BD8" w:rsidRPr="00EB2488" w:rsidRDefault="007F4BD8" w:rsidP="007F4BD8">
      <w:pPr>
        <w:pStyle w:val="ab"/>
      </w:pPr>
    </w:p>
    <w:p w14:paraId="7A33F592" w14:textId="77777777" w:rsidR="007F4BD8" w:rsidRPr="00EB2488" w:rsidRDefault="007F4BD8" w:rsidP="007F4BD8">
      <w:pPr>
        <w:pStyle w:val="ab"/>
        <w:spacing w:before="48"/>
      </w:pPr>
    </w:p>
    <w:p w14:paraId="3660E397" w14:textId="77777777" w:rsidR="007F4BD8" w:rsidRPr="00EB2488" w:rsidRDefault="007F4BD8" w:rsidP="007F4BD8">
      <w:pPr>
        <w:spacing w:line="259" w:lineRule="auto"/>
        <w:ind w:left="142" w:right="110"/>
        <w:jc w:val="both"/>
      </w:pPr>
      <w:r w:rsidRPr="00EB2488">
        <w:rPr>
          <w:w w:val="120"/>
        </w:rPr>
        <w:t xml:space="preserve">Във връзка с чл. 66, ал. 1 и 2 и във връзка с чл.69 ал.1 т.1 и ал.2 от АПК, Общински съвет </w:t>
      </w:r>
      <w:r>
        <w:rPr>
          <w:w w:val="120"/>
        </w:rPr>
        <w:t xml:space="preserve">- </w:t>
      </w:r>
      <w:r w:rsidRPr="00EB2488">
        <w:rPr>
          <w:w w:val="120"/>
        </w:rPr>
        <w:t>Русе уведомява всички заинтересовани страни, че Община Русе открива производство по издаване на общ административен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акт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-</w:t>
      </w:r>
      <w:r w:rsidRPr="00EB2488">
        <w:rPr>
          <w:spacing w:val="-12"/>
          <w:w w:val="120"/>
        </w:rPr>
        <w:t xml:space="preserve"> </w:t>
      </w:r>
      <w:r w:rsidRPr="00EB2488">
        <w:rPr>
          <w:w w:val="120"/>
        </w:rPr>
        <w:t>актуализиране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на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минимални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и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максимални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цени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за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таксиметров</w:t>
      </w:r>
      <w:r w:rsidRPr="00EB2488">
        <w:rPr>
          <w:spacing w:val="-13"/>
          <w:w w:val="120"/>
        </w:rPr>
        <w:t xml:space="preserve"> </w:t>
      </w:r>
      <w:r w:rsidRPr="00EB2488">
        <w:rPr>
          <w:w w:val="120"/>
        </w:rPr>
        <w:t>превоз на пътници на територията на Община Русе за 2026 г.</w:t>
      </w:r>
    </w:p>
    <w:p w14:paraId="3E07F3F1" w14:textId="77777777" w:rsidR="007F4BD8" w:rsidRPr="00EB2488" w:rsidRDefault="007F4BD8" w:rsidP="007F4BD8">
      <w:pPr>
        <w:pStyle w:val="ab"/>
        <w:spacing w:before="13"/>
      </w:pPr>
    </w:p>
    <w:p w14:paraId="52264775" w14:textId="77777777" w:rsidR="007F4BD8" w:rsidRPr="00EB2488" w:rsidRDefault="007F4BD8" w:rsidP="007F4BD8">
      <w:pPr>
        <w:spacing w:line="259" w:lineRule="auto"/>
        <w:ind w:left="142" w:right="110"/>
        <w:jc w:val="both"/>
        <w:rPr>
          <w:w w:val="120"/>
        </w:rPr>
      </w:pPr>
      <w:r w:rsidRPr="00EB2488">
        <w:rPr>
          <w:w w:val="120"/>
        </w:rPr>
        <w:t>Заинтересованите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лица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и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организации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могат</w:t>
      </w:r>
      <w:r w:rsidRPr="00EB2488">
        <w:rPr>
          <w:spacing w:val="-8"/>
          <w:w w:val="120"/>
        </w:rPr>
        <w:t xml:space="preserve"> </w:t>
      </w:r>
      <w:r w:rsidRPr="00EB2488">
        <w:rPr>
          <w:w w:val="120"/>
        </w:rPr>
        <w:t>да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се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запознаят</w:t>
      </w:r>
      <w:r w:rsidRPr="00EB2488">
        <w:rPr>
          <w:spacing w:val="-8"/>
          <w:w w:val="120"/>
        </w:rPr>
        <w:t xml:space="preserve"> </w:t>
      </w:r>
      <w:r w:rsidRPr="00EB2488">
        <w:rPr>
          <w:w w:val="120"/>
        </w:rPr>
        <w:t>с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проекта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на</w:t>
      </w:r>
      <w:r w:rsidRPr="00EB2488">
        <w:rPr>
          <w:spacing w:val="-9"/>
          <w:w w:val="120"/>
        </w:rPr>
        <w:t xml:space="preserve"> </w:t>
      </w:r>
      <w:r w:rsidRPr="00EB2488">
        <w:rPr>
          <w:w w:val="120"/>
        </w:rPr>
        <w:t>интернет</w:t>
      </w:r>
      <w:r w:rsidRPr="00EB2488">
        <w:rPr>
          <w:spacing w:val="-8"/>
          <w:w w:val="120"/>
        </w:rPr>
        <w:t xml:space="preserve"> </w:t>
      </w:r>
      <w:r w:rsidRPr="00EB2488">
        <w:rPr>
          <w:w w:val="120"/>
        </w:rPr>
        <w:t>страницата на Община Русе. Формата за участие в производството по издаване на посочения акт от страна на заинтересованите лица и организации са писмени предложения, становища и възражения, които могат да бъдат депозирани в деловодството на Община Русе и на Интернет</w:t>
      </w:r>
      <w:r w:rsidRPr="00EB2488">
        <w:rPr>
          <w:spacing w:val="39"/>
          <w:w w:val="120"/>
        </w:rPr>
        <w:t xml:space="preserve"> </w:t>
      </w:r>
      <w:r w:rsidRPr="00EB2488">
        <w:rPr>
          <w:w w:val="120"/>
        </w:rPr>
        <w:t>сайта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>на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 xml:space="preserve">общината и на сайта на Общински съвет </w:t>
      </w:r>
      <w:r>
        <w:rPr>
          <w:w w:val="120"/>
        </w:rPr>
        <w:t xml:space="preserve">- </w:t>
      </w:r>
      <w:r w:rsidRPr="00EB2488">
        <w:rPr>
          <w:w w:val="120"/>
        </w:rPr>
        <w:t>Русе,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>в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>срок</w:t>
      </w:r>
      <w:r w:rsidRPr="00EB2488">
        <w:rPr>
          <w:spacing w:val="39"/>
          <w:w w:val="120"/>
        </w:rPr>
        <w:t xml:space="preserve"> </w:t>
      </w:r>
      <w:r w:rsidRPr="00EB2488">
        <w:rPr>
          <w:w w:val="120"/>
        </w:rPr>
        <w:t>от</w:t>
      </w:r>
      <w:r w:rsidRPr="00EB2488">
        <w:rPr>
          <w:spacing w:val="39"/>
          <w:w w:val="120"/>
        </w:rPr>
        <w:t xml:space="preserve"> </w:t>
      </w:r>
      <w:r w:rsidRPr="00EB2488">
        <w:rPr>
          <w:w w:val="120"/>
        </w:rPr>
        <w:t>09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>април</w:t>
      </w:r>
      <w:r w:rsidRPr="00EB2488">
        <w:rPr>
          <w:spacing w:val="39"/>
          <w:w w:val="120"/>
        </w:rPr>
        <w:t xml:space="preserve"> </w:t>
      </w:r>
      <w:r w:rsidRPr="00EB2488">
        <w:rPr>
          <w:w w:val="120"/>
        </w:rPr>
        <w:t>2026</w:t>
      </w:r>
      <w:r w:rsidRPr="00EB2488">
        <w:rPr>
          <w:spacing w:val="38"/>
          <w:w w:val="120"/>
        </w:rPr>
        <w:t xml:space="preserve"> </w:t>
      </w:r>
      <w:r w:rsidRPr="00EB2488">
        <w:rPr>
          <w:w w:val="120"/>
        </w:rPr>
        <w:t>година до 08 май 2026 година.</w:t>
      </w:r>
    </w:p>
    <w:p w14:paraId="662E12FA" w14:textId="77777777" w:rsidR="007F4BD8" w:rsidRDefault="007F4BD8" w:rsidP="00356462">
      <w:pPr>
        <w:ind w:right="-18"/>
        <w:jc w:val="both"/>
        <w:rPr>
          <w:b/>
          <w:szCs w:val="20"/>
        </w:rPr>
      </w:pPr>
    </w:p>
    <w:p w14:paraId="2407A5ED" w14:textId="77777777" w:rsidR="007F4BD8" w:rsidRDefault="007F4BD8" w:rsidP="00356462">
      <w:pPr>
        <w:ind w:right="-18"/>
        <w:jc w:val="both"/>
        <w:rPr>
          <w:b/>
          <w:szCs w:val="20"/>
        </w:rPr>
      </w:pPr>
    </w:p>
    <w:p w14:paraId="2E9995F4" w14:textId="77777777" w:rsidR="007F4BD8" w:rsidRDefault="007F4BD8" w:rsidP="00356462">
      <w:pPr>
        <w:ind w:right="-18"/>
        <w:jc w:val="both"/>
        <w:rPr>
          <w:b/>
          <w:szCs w:val="20"/>
        </w:rPr>
      </w:pPr>
    </w:p>
    <w:p w14:paraId="74F5CFE8" w14:textId="77777777" w:rsidR="007F4BD8" w:rsidRDefault="007F4BD8" w:rsidP="00356462">
      <w:pPr>
        <w:ind w:right="-18"/>
        <w:jc w:val="both"/>
        <w:rPr>
          <w:b/>
          <w:szCs w:val="20"/>
        </w:rPr>
      </w:pPr>
    </w:p>
    <w:p w14:paraId="41AB7CE5" w14:textId="551A81E3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>ДО</w:t>
      </w:r>
    </w:p>
    <w:p w14:paraId="6AE3451D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>ОБЩИНСКИ СЪВЕТ</w:t>
      </w:r>
    </w:p>
    <w:p w14:paraId="2BDF6744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>РУСЕ</w:t>
      </w:r>
    </w:p>
    <w:p w14:paraId="34896DC0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</w:p>
    <w:p w14:paraId="1744349F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>ПРЕДЛОЖЕНИЕ</w:t>
      </w:r>
    </w:p>
    <w:p w14:paraId="2EA37162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</w:p>
    <w:p w14:paraId="4F418A3A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>ОТ ЗЛАТОМИРА СТЕФАНОВА</w:t>
      </w:r>
    </w:p>
    <w:p w14:paraId="2060B3CE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  <w:r w:rsidRPr="00356462">
        <w:rPr>
          <w:b/>
          <w:szCs w:val="20"/>
        </w:rPr>
        <w:t xml:space="preserve">ЗА КМЕТ НА ОБЩИНА РУСЕ,  </w:t>
      </w:r>
    </w:p>
    <w:p w14:paraId="38DEAC6B" w14:textId="77777777" w:rsidR="00356462" w:rsidRPr="00356462" w:rsidRDefault="00356462" w:rsidP="00356462">
      <w:pPr>
        <w:ind w:right="-18"/>
        <w:jc w:val="both"/>
        <w:rPr>
          <w:b/>
          <w:i/>
          <w:iCs/>
          <w:szCs w:val="20"/>
        </w:rPr>
      </w:pPr>
      <w:r w:rsidRPr="00356462">
        <w:rPr>
          <w:b/>
          <w:i/>
          <w:iCs/>
          <w:szCs w:val="20"/>
        </w:rPr>
        <w:t xml:space="preserve">Съгласно Заповед № РД-01-954/26.03.2026 г. </w:t>
      </w:r>
    </w:p>
    <w:p w14:paraId="518962C1" w14:textId="77777777" w:rsidR="00356462" w:rsidRPr="00356462" w:rsidRDefault="00356462" w:rsidP="00356462">
      <w:pPr>
        <w:ind w:right="-18"/>
        <w:jc w:val="both"/>
        <w:rPr>
          <w:b/>
          <w:szCs w:val="20"/>
        </w:rPr>
      </w:pPr>
    </w:p>
    <w:p w14:paraId="1E9E76CF" w14:textId="77777777" w:rsidR="00356462" w:rsidRPr="00356462" w:rsidRDefault="00356462" w:rsidP="00356462">
      <w:pPr>
        <w:ind w:left="-57" w:right="-18"/>
        <w:jc w:val="both"/>
        <w:rPr>
          <w:b/>
        </w:rPr>
      </w:pPr>
      <w:r w:rsidRPr="00356462">
        <w:rPr>
          <w:b/>
          <w:bCs/>
        </w:rPr>
        <w:t xml:space="preserve">Относно: </w:t>
      </w:r>
      <w:r w:rsidRPr="00356462">
        <w:rPr>
          <w:bCs/>
        </w:rPr>
        <w:t>Определяне на минимални и максимални цени за таксиметров превоз на пътници</w:t>
      </w:r>
    </w:p>
    <w:p w14:paraId="40409DDE" w14:textId="77777777" w:rsidR="00356462" w:rsidRPr="00356462" w:rsidRDefault="00356462" w:rsidP="00356462">
      <w:pPr>
        <w:ind w:left="-57" w:right="-18" w:hanging="1440"/>
        <w:jc w:val="both"/>
      </w:pPr>
    </w:p>
    <w:p w14:paraId="09F5301C" w14:textId="77777777" w:rsidR="00356462" w:rsidRPr="00356462" w:rsidRDefault="00356462" w:rsidP="00356462">
      <w:pPr>
        <w:ind w:right="-18"/>
        <w:rPr>
          <w:b/>
          <w:bCs/>
          <w:iCs/>
        </w:rPr>
      </w:pPr>
      <w:r w:rsidRPr="00356462">
        <w:rPr>
          <w:b/>
          <w:bCs/>
          <w:iCs/>
        </w:rPr>
        <w:t>УВАЖАЕМИ ДАМИ И ГОСПОДА ОБЩИНСКИ СЪВЕТНИЦИ,</w:t>
      </w:r>
    </w:p>
    <w:p w14:paraId="1E434936" w14:textId="77777777" w:rsidR="00356462" w:rsidRPr="00356462" w:rsidRDefault="00356462" w:rsidP="00356462">
      <w:pPr>
        <w:ind w:firstLine="567"/>
        <w:jc w:val="both"/>
        <w:rPr>
          <w:color w:val="000000"/>
        </w:rPr>
      </w:pPr>
    </w:p>
    <w:p w14:paraId="165C6873" w14:textId="77777777" w:rsidR="00356462" w:rsidRPr="00356462" w:rsidRDefault="00356462" w:rsidP="00356462">
      <w:pPr>
        <w:ind w:firstLine="567"/>
        <w:jc w:val="both"/>
      </w:pPr>
      <w:r w:rsidRPr="00356462">
        <w:rPr>
          <w:iCs/>
        </w:rPr>
        <w:t xml:space="preserve">Съгласно на чл. 24, ал. 4 от Наредба №34 от 06.12.1999г. за таксиметров превоз на пътници издадена от Министъра на транспорта (Наредба №34), </w:t>
      </w:r>
      <w:r w:rsidRPr="00356462">
        <w:rPr>
          <w:iCs/>
          <w:noProof/>
        </w:rPr>
        <w:t>Общинският съвет определя броя таксиметрови автомобили, работещи на територията на общината, както и реда, и условията за разпределение на общия брой на автомобилите между регистрираните търговци.</w:t>
      </w:r>
    </w:p>
    <w:p w14:paraId="721FB05B" w14:textId="77777777" w:rsidR="00356462" w:rsidRPr="00356462" w:rsidRDefault="00356462" w:rsidP="00356462">
      <w:pPr>
        <w:ind w:firstLine="567"/>
        <w:jc w:val="both"/>
      </w:pPr>
      <w:r w:rsidRPr="00356462">
        <w:t>Съобразно разпоредбите на  чл. 24а, ал. 11 от Закона за автомобилните превози и</w:t>
      </w:r>
      <w:r w:rsidRPr="00356462">
        <w:rPr>
          <w:iCs/>
        </w:rPr>
        <w:t xml:space="preserve"> чл. 24, ал. 5 от Наредба №34</w:t>
      </w:r>
      <w:r w:rsidRPr="00356462">
        <w:t xml:space="preserve">,  общинските съвети следва да определят в срок до 31 октомври минимални и максимални </w:t>
      </w:r>
      <w:r w:rsidRPr="00356462">
        <w:rPr>
          <w:bdr w:val="none" w:sz="0" w:space="0" w:color="auto" w:frame="1"/>
          <w:shd w:val="clear" w:color="auto" w:fill="FFFFFF"/>
        </w:rPr>
        <w:t>цени</w:t>
      </w:r>
      <w:r w:rsidRPr="00356462">
        <w:t xml:space="preserve"> за таксиметров</w:t>
      </w:r>
      <w:r w:rsidRPr="00356462">
        <w:rPr>
          <w:b/>
          <w:bCs/>
        </w:rPr>
        <w:t xml:space="preserve"> </w:t>
      </w:r>
      <w:r w:rsidRPr="00356462">
        <w:t xml:space="preserve">превоз на пътници за един </w:t>
      </w:r>
      <w:r w:rsidRPr="00356462">
        <w:lastRenderedPageBreak/>
        <w:t xml:space="preserve">километър пробег по съответната тарифа за следващата година, валидни за територията на съответната община. Когато общинският съвет не определи минимални и максимални </w:t>
      </w:r>
      <w:r w:rsidRPr="00356462">
        <w:rPr>
          <w:bdr w:val="none" w:sz="0" w:space="0" w:color="auto" w:frame="1"/>
          <w:shd w:val="clear" w:color="auto" w:fill="FFFFFF"/>
        </w:rPr>
        <w:t>цени</w:t>
      </w:r>
      <w:r w:rsidRPr="00356462">
        <w:t xml:space="preserve"> за текущата година, се прилагат </w:t>
      </w:r>
      <w:r w:rsidRPr="00356462">
        <w:rPr>
          <w:bdr w:val="none" w:sz="0" w:space="0" w:color="auto" w:frame="1"/>
          <w:shd w:val="clear" w:color="auto" w:fill="FFFFFF"/>
        </w:rPr>
        <w:t>цените</w:t>
      </w:r>
      <w:r w:rsidRPr="00356462">
        <w:t xml:space="preserve"> към 31 декември на предходната година.</w:t>
      </w:r>
    </w:p>
    <w:p w14:paraId="44BD962F" w14:textId="77777777" w:rsidR="00356462" w:rsidRPr="00356462" w:rsidRDefault="00356462" w:rsidP="00356462">
      <w:pPr>
        <w:ind w:firstLine="709"/>
        <w:jc w:val="both"/>
        <w:rPr>
          <w:rFonts w:eastAsia="Calibri"/>
          <w:lang w:eastAsia="en-US"/>
        </w:rPr>
      </w:pPr>
      <w:r w:rsidRPr="00356462">
        <w:rPr>
          <w:rFonts w:eastAsia="Calibri"/>
          <w:lang w:eastAsia="en-US"/>
        </w:rPr>
        <w:t>През месец юли 2023г. от страна на таксиметровите превозвачи е внесено предложение в Общински съвет - Русе относно актуализацията на минималните и максималните цени за таксиметров превоз за един километър пробег по съответната тарифа за следващата календарна година, валидни за територията на Община Русе и приемане броя таксиметрови автомобили, работещи на територията на общината.</w:t>
      </w:r>
    </w:p>
    <w:p w14:paraId="38375E1E" w14:textId="77777777" w:rsidR="00356462" w:rsidRPr="00356462" w:rsidRDefault="00356462" w:rsidP="00356462">
      <w:pPr>
        <w:ind w:firstLine="709"/>
        <w:jc w:val="both"/>
        <w:rPr>
          <w:rFonts w:eastAsia="Calibri"/>
          <w:lang w:eastAsia="en-US"/>
        </w:rPr>
      </w:pPr>
      <w:r w:rsidRPr="00356462">
        <w:rPr>
          <w:rFonts w:eastAsia="Calibri"/>
          <w:lang w:eastAsia="en-US"/>
        </w:rPr>
        <w:t>С Решение №1473 прието с Протокол 52/21.09.2023г. Общински съвет Русе определи:</w:t>
      </w:r>
    </w:p>
    <w:p w14:paraId="3F2284F5" w14:textId="77777777" w:rsidR="00356462" w:rsidRPr="00356462" w:rsidRDefault="00356462" w:rsidP="00356462">
      <w:pPr>
        <w:numPr>
          <w:ilvl w:val="0"/>
          <w:numId w:val="23"/>
        </w:numPr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 xml:space="preserve">Минимални цени: Дневна тарифа – 1.05лв.; Нощна тарифа – 1.20лв. </w:t>
      </w:r>
    </w:p>
    <w:p w14:paraId="2A537F99" w14:textId="77777777" w:rsidR="00356462" w:rsidRPr="00356462" w:rsidRDefault="00356462" w:rsidP="00356462">
      <w:pPr>
        <w:numPr>
          <w:ilvl w:val="0"/>
          <w:numId w:val="23"/>
        </w:numPr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Максимални цени: Дневна тарифа – 1.50лв.; Нощна тарифа – 1.80лв.</w:t>
      </w:r>
    </w:p>
    <w:p w14:paraId="6052ED31" w14:textId="77777777" w:rsidR="00356462" w:rsidRPr="00356462" w:rsidRDefault="00356462" w:rsidP="00356462">
      <w:pPr>
        <w:numPr>
          <w:ilvl w:val="0"/>
          <w:numId w:val="23"/>
        </w:numPr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Максимален брой таксиметрови автомобили, работещи на територията на Община Русе – 700 броя.</w:t>
      </w:r>
    </w:p>
    <w:p w14:paraId="68625E1E" w14:textId="77777777" w:rsidR="00356462" w:rsidRPr="00356462" w:rsidRDefault="00356462" w:rsidP="00356462">
      <w:pPr>
        <w:ind w:firstLine="567"/>
        <w:jc w:val="both"/>
      </w:pPr>
      <w:r w:rsidRPr="00356462">
        <w:rPr>
          <w:rFonts w:eastAsia="Calibri"/>
          <w:kern w:val="2"/>
          <w:lang w:eastAsia="en-US"/>
          <w14:ligatures w14:val="standardContextual"/>
        </w:rPr>
        <w:t>Същевременно съгласно разпоредбите на чл.24, ал.6 от Наредба №34 цените по ал. 5 се актуализират най-малко веднъж годишно, но п</w:t>
      </w:r>
      <w:r w:rsidRPr="00356462">
        <w:t xml:space="preserve">рез 2024 и 2025 г. не са приемани решения за определяне на нови цени от компетентния орган, с оглед на което се прилагат цените, определени с решението от 2023 г. </w:t>
      </w:r>
    </w:p>
    <w:p w14:paraId="20C1A5A1" w14:textId="77777777" w:rsidR="00356462" w:rsidRPr="00356462" w:rsidRDefault="00356462" w:rsidP="00356462">
      <w:pPr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В Община Русе с вх. №06-01-15/07.04.2026 г. постъпи писмо относно отправеното от заинтересовани таксиметрови превозвачи към  Общински съвет – Русе предложение за определяне на минимални и максимални цени за таксиметров превоз на пътници за един километър пробег на територията на Община Русе за 2026 г.</w:t>
      </w:r>
    </w:p>
    <w:p w14:paraId="3FFBC736" w14:textId="77777777" w:rsidR="00356462" w:rsidRPr="00356462" w:rsidRDefault="00356462" w:rsidP="00356462">
      <w:pPr>
        <w:ind w:firstLine="709"/>
        <w:jc w:val="both"/>
        <w:rPr>
          <w:rFonts w:eastAsia="Calibri"/>
          <w:noProof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 xml:space="preserve">Изложените в предложението мотиви </w:t>
      </w:r>
      <w:r w:rsidRPr="00356462">
        <w:rPr>
          <w:rFonts w:eastAsia="Calibri"/>
          <w:noProof/>
          <w:kern w:val="2"/>
          <w:lang w:eastAsia="en-US"/>
          <w14:ligatures w14:val="standardContextual"/>
        </w:rPr>
        <w:t>са свързани с ръста на инфлацията през последните три години, тенденциалното повишаване на цените на горивата и други обективни икономически и организационни фактори.</w:t>
      </w:r>
    </w:p>
    <w:p w14:paraId="39164586" w14:textId="77777777" w:rsidR="00356462" w:rsidRPr="00356462" w:rsidRDefault="00356462" w:rsidP="00356462">
      <w:pPr>
        <w:ind w:firstLine="567"/>
        <w:jc w:val="both"/>
        <w:rPr>
          <w:rFonts w:eastAsia="Calibri"/>
          <w:noProof/>
          <w:kern w:val="2"/>
          <w:lang w:eastAsia="en-US"/>
          <w14:ligatures w14:val="standardContextual"/>
        </w:rPr>
      </w:pPr>
      <w:r w:rsidRPr="00356462">
        <w:rPr>
          <w:rFonts w:eastAsia="Calibri"/>
          <w:noProof/>
          <w:kern w:val="2"/>
          <w:lang w:eastAsia="en-US"/>
          <w14:ligatures w14:val="standardContextual"/>
        </w:rPr>
        <w:t>Към месец април 2026 г. цялостната икономическа ситуация в страната се характеризира с допълнително съществено повишени разходи за основни ресурси, оказващи пряко влияние върху дейността на таксиметровите превозвачи и себестойността на осъществяваните от тях услуги, като например:</w:t>
      </w:r>
    </w:p>
    <w:p w14:paraId="2675F687" w14:textId="77777777" w:rsidR="00356462" w:rsidRPr="00356462" w:rsidRDefault="00356462" w:rsidP="00356462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Увеличение на минималната работна заплата;</w:t>
      </w:r>
    </w:p>
    <w:p w14:paraId="167F7283" w14:textId="77777777" w:rsidR="00356462" w:rsidRPr="00356462" w:rsidRDefault="00356462" w:rsidP="00356462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Увеличение на задължителната застраховка гражданска отговорност и застраховка злополука на местата в таксиметровия автомобил;</w:t>
      </w:r>
    </w:p>
    <w:p w14:paraId="3258BA6C" w14:textId="77777777" w:rsidR="00356462" w:rsidRPr="00356462" w:rsidRDefault="00356462" w:rsidP="00356462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Увеличение на разходите за ремонт и поддръжка на автомобилите;</w:t>
      </w:r>
    </w:p>
    <w:p w14:paraId="10F488DE" w14:textId="77777777" w:rsidR="00356462" w:rsidRPr="00356462" w:rsidRDefault="00356462" w:rsidP="00356462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56462">
        <w:rPr>
          <w:rFonts w:eastAsia="Calibri"/>
          <w:kern w:val="2"/>
          <w:lang w:eastAsia="en-US"/>
          <w14:ligatures w14:val="standardContextual"/>
        </w:rPr>
        <w:t>Тенденция за допълнително увеличение на цените на горивата.</w:t>
      </w:r>
    </w:p>
    <w:p w14:paraId="10337901" w14:textId="77777777" w:rsidR="00356462" w:rsidRPr="00356462" w:rsidRDefault="00356462" w:rsidP="00356462">
      <w:pPr>
        <w:ind w:right="-18" w:firstLine="567"/>
        <w:jc w:val="both"/>
        <w:rPr>
          <w:lang w:val="en-US"/>
        </w:rPr>
      </w:pPr>
      <w:r w:rsidRPr="00356462">
        <w:t xml:space="preserve">В нормативната уредба не са утвърдени показатели и/или критерии, по които да се определят минималните и максималните цени за километър пробег за таксиметров превоз на пътници, като законодателят поставя в компетентността на Общинския съвет да определи цени за километър пробег. </w:t>
      </w:r>
    </w:p>
    <w:p w14:paraId="21B5D25D" w14:textId="77777777" w:rsidR="00356462" w:rsidRPr="00356462" w:rsidRDefault="00356462" w:rsidP="00356462">
      <w:pPr>
        <w:ind w:right="-18" w:firstLine="567"/>
        <w:jc w:val="both"/>
      </w:pPr>
      <w:r w:rsidRPr="00356462">
        <w:t>В тази връзка Ви представям информация за приетите действащи минимални и максимални цени на услугата с другите градове:</w:t>
      </w:r>
    </w:p>
    <w:p w14:paraId="5753F9B3" w14:textId="77777777" w:rsidR="00356462" w:rsidRPr="00356462" w:rsidRDefault="00356462" w:rsidP="00356462">
      <w:pPr>
        <w:ind w:right="-18" w:firstLine="567"/>
        <w:jc w:val="both"/>
      </w:pPr>
    </w:p>
    <w:tbl>
      <w:tblPr>
        <w:tblStyle w:val="311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3145"/>
        <w:gridCol w:w="1407"/>
        <w:gridCol w:w="1360"/>
        <w:gridCol w:w="1520"/>
        <w:gridCol w:w="1424"/>
      </w:tblGrid>
      <w:tr w:rsidR="00356462" w:rsidRPr="00356462" w14:paraId="50C02E3E" w14:textId="77777777" w:rsidTr="00356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5" w:type="dxa"/>
            <w:tcBorders>
              <w:top w:val="single" w:sz="4" w:space="0" w:color="5B9BD5"/>
              <w:left w:val="single" w:sz="4" w:space="0" w:color="5B9BD5"/>
            </w:tcBorders>
            <w:hideMark/>
          </w:tcPr>
          <w:p w14:paraId="4B9F1F8B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line="205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Община: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single" w:sz="4" w:space="0" w:color="5B9BD5"/>
              <w:bottom w:val="nil"/>
            </w:tcBorders>
            <w:hideMark/>
          </w:tcPr>
          <w:p w14:paraId="3289F755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line="205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Дневна</w:t>
            </w:r>
            <w:proofErr w:type="spellEnd"/>
          </w:p>
          <w:p w14:paraId="71E23791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before="16" w:line="189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минимална</w:t>
            </w:r>
            <w:proofErr w:type="spellEnd"/>
          </w:p>
        </w:tc>
        <w:tc>
          <w:tcPr>
            <w:tcW w:w="1360" w:type="dxa"/>
            <w:tcBorders>
              <w:top w:val="single" w:sz="4" w:space="0" w:color="5B9BD5"/>
              <w:left w:val="nil"/>
              <w:bottom w:val="nil"/>
              <w:right w:val="nil"/>
            </w:tcBorders>
            <w:hideMark/>
          </w:tcPr>
          <w:p w14:paraId="0E7A9EA7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line="205" w:lineRule="exact"/>
              <w:ind w:lef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4"/>
                <w:w w:val="115"/>
                <w:sz w:val="18"/>
                <w:szCs w:val="22"/>
                <w:lang w:val="en-US"/>
              </w:rPr>
              <w:t>Нощна</w:t>
            </w:r>
            <w:proofErr w:type="spellEnd"/>
          </w:p>
          <w:p w14:paraId="11253294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before="16" w:line="189" w:lineRule="exact"/>
              <w:ind w:lef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минимална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single" w:sz="4" w:space="0" w:color="5B9BD5"/>
              <w:bottom w:val="nil"/>
            </w:tcBorders>
            <w:hideMark/>
          </w:tcPr>
          <w:p w14:paraId="5B121D4C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line="205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Дневна</w:t>
            </w:r>
            <w:proofErr w:type="spellEnd"/>
          </w:p>
          <w:p w14:paraId="60FADC07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before="16" w:line="189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максимална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24" w:type="dxa"/>
            <w:tcBorders>
              <w:top w:val="single" w:sz="4" w:space="0" w:color="5B9BD5"/>
              <w:right w:val="single" w:sz="4" w:space="0" w:color="5B9BD5"/>
            </w:tcBorders>
            <w:hideMark/>
          </w:tcPr>
          <w:p w14:paraId="12D7D635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line="205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4"/>
                <w:w w:val="115"/>
                <w:sz w:val="18"/>
                <w:szCs w:val="22"/>
                <w:lang w:val="en-US"/>
              </w:rPr>
              <w:t>Нощна</w:t>
            </w:r>
            <w:proofErr w:type="spellEnd"/>
          </w:p>
          <w:p w14:paraId="7D4164AD" w14:textId="77777777" w:rsidR="00356462" w:rsidRPr="00356462" w:rsidRDefault="00356462" w:rsidP="00356462">
            <w:pPr>
              <w:widowControl w:val="0"/>
              <w:autoSpaceDE w:val="0"/>
              <w:autoSpaceDN w:val="0"/>
              <w:spacing w:before="16" w:line="189" w:lineRule="exact"/>
              <w:ind w:left="54"/>
              <w:jc w:val="center"/>
              <w:rPr>
                <w:rFonts w:eastAsia="Trebuchet MS"/>
                <w:sz w:val="18"/>
                <w:szCs w:val="22"/>
                <w:lang w:val="en-US"/>
              </w:rPr>
            </w:pPr>
            <w:proofErr w:type="spellStart"/>
            <w:r w:rsidRPr="00356462">
              <w:rPr>
                <w:rFonts w:eastAsia="Trebuchet MS"/>
                <w:spacing w:val="-2"/>
                <w:w w:val="115"/>
                <w:sz w:val="18"/>
                <w:szCs w:val="22"/>
                <w:lang w:val="en-US"/>
              </w:rPr>
              <w:t>максимална</w:t>
            </w:r>
            <w:proofErr w:type="spellEnd"/>
          </w:p>
        </w:tc>
      </w:tr>
      <w:tr w:rsidR="00356462" w:rsidRPr="00356462" w14:paraId="44752C27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77BAE1DA" w14:textId="77777777" w:rsidR="00356462" w:rsidRPr="00356462" w:rsidRDefault="00356462" w:rsidP="00356462">
            <w:r w:rsidRPr="00356462">
              <w:rPr>
                <w:w w:val="115"/>
              </w:rPr>
              <w:t>Русе</w:t>
            </w:r>
            <w:r w:rsidRPr="00356462">
              <w:rPr>
                <w:spacing w:val="45"/>
                <w:w w:val="115"/>
              </w:rPr>
              <w:t xml:space="preserve"> </w:t>
            </w:r>
            <w:r w:rsidRPr="00356462">
              <w:rPr>
                <w:w w:val="115"/>
              </w:rPr>
              <w:t>ново</w:t>
            </w:r>
            <w:r w:rsidRPr="00356462">
              <w:rPr>
                <w:spacing w:val="46"/>
                <w:w w:val="115"/>
              </w:rPr>
              <w:t xml:space="preserve"> </w:t>
            </w:r>
            <w:r w:rsidRPr="00356462">
              <w:rPr>
                <w:w w:val="115"/>
              </w:rPr>
              <w:t>предложение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57776686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0,70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1AA5061D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0,80</w:t>
            </w:r>
            <w:r w:rsidRPr="00356462">
              <w:rPr>
                <w:b/>
                <w:bCs/>
                <w:spacing w:val="-12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47E83B6F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1,05</w:t>
            </w:r>
            <w:r w:rsidRPr="00356462">
              <w:rPr>
                <w:b/>
                <w:bCs/>
                <w:spacing w:val="-12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333CF44E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1,20</w:t>
            </w:r>
            <w:r w:rsidRPr="00356462">
              <w:rPr>
                <w:spacing w:val="-12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6EF9D678" w14:textId="77777777" w:rsidTr="00356462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5E2BA983" w14:textId="77777777" w:rsidR="00356462" w:rsidRPr="00356462" w:rsidRDefault="00356462" w:rsidP="00356462">
            <w:pPr>
              <w:rPr>
                <w:w w:val="115"/>
              </w:rPr>
            </w:pPr>
            <w:r w:rsidRPr="00356462">
              <w:rPr>
                <w:spacing w:val="-4"/>
                <w:w w:val="110"/>
              </w:rPr>
              <w:t>Русе – действаща тарифа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4C12DC28" w14:textId="77777777" w:rsidR="00356462" w:rsidRPr="00356462" w:rsidRDefault="00356462" w:rsidP="00356462">
            <w:pPr>
              <w:jc w:val="center"/>
              <w:rPr>
                <w:b/>
                <w:bCs/>
                <w:w w:val="115"/>
              </w:rPr>
            </w:pPr>
            <w:r w:rsidRPr="00356462">
              <w:rPr>
                <w:b/>
                <w:bCs/>
                <w:w w:val="115"/>
              </w:rPr>
              <w:t>0,54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4D502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w w:val="115"/>
              </w:rPr>
            </w:pPr>
            <w:r w:rsidRPr="00356462">
              <w:rPr>
                <w:b/>
                <w:bCs/>
                <w:w w:val="115"/>
              </w:rPr>
              <w:t>0,61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0ABC657A" w14:textId="77777777" w:rsidR="00356462" w:rsidRPr="00356462" w:rsidRDefault="00356462" w:rsidP="00356462">
            <w:pPr>
              <w:jc w:val="center"/>
              <w:rPr>
                <w:b/>
                <w:bCs/>
                <w:w w:val="115"/>
              </w:rPr>
            </w:pPr>
            <w:r w:rsidRPr="00356462">
              <w:rPr>
                <w:b/>
                <w:bCs/>
                <w:w w:val="115"/>
              </w:rPr>
              <w:t>0,77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788DB230" w14:textId="77777777" w:rsidR="00356462" w:rsidRPr="00356462" w:rsidRDefault="00356462" w:rsidP="00356462">
            <w:pPr>
              <w:jc w:val="center"/>
              <w:rPr>
                <w:w w:val="115"/>
              </w:rPr>
            </w:pPr>
            <w:r w:rsidRPr="00356462">
              <w:rPr>
                <w:w w:val="115"/>
              </w:rPr>
              <w:t>0,92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23CD970F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01A59D54" w14:textId="77777777" w:rsidR="00356462" w:rsidRPr="00356462" w:rsidRDefault="00356462" w:rsidP="00356462">
            <w:r w:rsidRPr="00356462">
              <w:rPr>
                <w:spacing w:val="-4"/>
                <w:w w:val="115"/>
              </w:rPr>
              <w:t>София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49914A00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0,74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65D0BB77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0,87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13B4A4E4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1,24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14267E72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1,52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03490D5A" w14:textId="77777777" w:rsidTr="0035646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2128E468" w14:textId="77777777" w:rsidR="00356462" w:rsidRPr="00356462" w:rsidRDefault="00356462" w:rsidP="00356462">
            <w:r w:rsidRPr="00356462">
              <w:rPr>
                <w:w w:val="115"/>
              </w:rPr>
              <w:t>Пловдив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38CF27F9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0,70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D4C27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0,80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109F6610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1,02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4E1B2AE2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1,28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29BED709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2491E2BB" w14:textId="77777777" w:rsidR="00356462" w:rsidRPr="00356462" w:rsidRDefault="00356462" w:rsidP="00356462">
            <w:r w:rsidRPr="00356462">
              <w:rPr>
                <w:w w:val="120"/>
              </w:rPr>
              <w:t>Варна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0BB3D9C9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0,66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0DB6A0D4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3244B052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1,33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102D0253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1,53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750C6F60" w14:textId="77777777" w:rsidTr="0035646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194C468B" w14:textId="77777777" w:rsidR="00356462" w:rsidRPr="00356462" w:rsidRDefault="00356462" w:rsidP="00356462">
            <w:r w:rsidRPr="00356462">
              <w:rPr>
                <w:w w:val="115"/>
              </w:rPr>
              <w:t>Бургас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1E3B06E8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0,66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4C5E6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55A8FDAB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0,82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4F185F4A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0,97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63C66C8E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79199960" w14:textId="77777777" w:rsidR="00356462" w:rsidRPr="00356462" w:rsidRDefault="00356462" w:rsidP="00356462">
            <w:r w:rsidRPr="00356462">
              <w:rPr>
                <w:w w:val="110"/>
              </w:rPr>
              <w:lastRenderedPageBreak/>
              <w:t>Добрич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661E0078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2804DA88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0,73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5D404C33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1,35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06B83498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1,44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01E22E19" w14:textId="77777777" w:rsidTr="0035646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4E3F6C69" w14:textId="77777777" w:rsidR="00356462" w:rsidRPr="00356462" w:rsidRDefault="00356462" w:rsidP="00356462">
            <w:r w:rsidRPr="00356462">
              <w:rPr>
                <w:w w:val="115"/>
              </w:rPr>
              <w:t>Плевен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722ED667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0,54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1A98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0,64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0EDCDF5C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0,69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4A71915B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0,84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0A80369C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5D0F26FC" w14:textId="77777777" w:rsidR="00356462" w:rsidRPr="00356462" w:rsidRDefault="00356462" w:rsidP="00356462">
            <w:r w:rsidRPr="00356462">
              <w:rPr>
                <w:w w:val="120"/>
              </w:rPr>
              <w:t>Пазарджик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29576A57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0,51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19975F74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0,59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5F35A26E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0,92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27A54621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1,02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3A07C003" w14:textId="77777777" w:rsidTr="0035646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73BBB13F" w14:textId="77777777" w:rsidR="00356462" w:rsidRPr="00356462" w:rsidRDefault="00356462" w:rsidP="00356462">
            <w:r w:rsidRPr="00356462">
              <w:rPr>
                <w:w w:val="115"/>
              </w:rPr>
              <w:t>Велико</w:t>
            </w:r>
            <w:r w:rsidRPr="00356462">
              <w:rPr>
                <w:spacing w:val="-6"/>
                <w:w w:val="115"/>
              </w:rPr>
              <w:t xml:space="preserve"> </w:t>
            </w:r>
            <w:r w:rsidRPr="00356462">
              <w:rPr>
                <w:w w:val="115"/>
              </w:rPr>
              <w:t>Търново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028BAF08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0,51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6842C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0,56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31C963A7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0,77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1600DC15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0,87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603F2D61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565DF746" w14:textId="77777777" w:rsidR="00356462" w:rsidRPr="00356462" w:rsidRDefault="00356462" w:rsidP="00356462">
            <w:r w:rsidRPr="00356462">
              <w:rPr>
                <w:w w:val="120"/>
              </w:rPr>
              <w:t>Монтана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6DE41D81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0,46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634CDF56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0,51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1720E1A7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0,66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637D7D5C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0,77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13E0BF57" w14:textId="77777777" w:rsidTr="0035646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il"/>
              <w:left w:val="single" w:sz="4" w:space="0" w:color="5B9BD5"/>
              <w:bottom w:val="nil"/>
            </w:tcBorders>
            <w:hideMark/>
          </w:tcPr>
          <w:p w14:paraId="72BCBED9" w14:textId="77777777" w:rsidR="00356462" w:rsidRPr="00356462" w:rsidRDefault="00356462" w:rsidP="00356462">
            <w:r w:rsidRPr="00356462">
              <w:rPr>
                <w:w w:val="115"/>
              </w:rPr>
              <w:t>Сливен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hideMark/>
          </w:tcPr>
          <w:p w14:paraId="4DF27827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0,45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84A9B" w14:textId="77777777" w:rsidR="00356462" w:rsidRPr="00356462" w:rsidRDefault="00356462" w:rsidP="0035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0,50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il"/>
              <w:bottom w:val="nil"/>
            </w:tcBorders>
            <w:hideMark/>
          </w:tcPr>
          <w:p w14:paraId="7552FF5C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0,87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top w:val="nil"/>
              <w:bottom w:val="nil"/>
              <w:right w:val="single" w:sz="4" w:space="0" w:color="5B9BD5"/>
            </w:tcBorders>
            <w:hideMark/>
          </w:tcPr>
          <w:p w14:paraId="0C1B7193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0,97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13D4CB9D" w14:textId="77777777" w:rsidTr="00356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5B9BD5"/>
            </w:tcBorders>
            <w:hideMark/>
          </w:tcPr>
          <w:p w14:paraId="30192328" w14:textId="77777777" w:rsidR="00356462" w:rsidRPr="00356462" w:rsidRDefault="00356462" w:rsidP="00356462">
            <w:r w:rsidRPr="00356462">
              <w:rPr>
                <w:w w:val="115"/>
              </w:rPr>
              <w:t>Шумен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hideMark/>
          </w:tcPr>
          <w:p w14:paraId="4F6671FF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0,43</w:t>
            </w:r>
            <w:r w:rsidRPr="00356462">
              <w:rPr>
                <w:b/>
                <w:bCs/>
                <w:spacing w:val="-13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right w:val="nil"/>
            </w:tcBorders>
            <w:hideMark/>
          </w:tcPr>
          <w:p w14:paraId="283033E2" w14:textId="77777777" w:rsidR="00356462" w:rsidRPr="00356462" w:rsidRDefault="00356462" w:rsidP="00356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0,43</w:t>
            </w:r>
            <w:r w:rsidRPr="00356462">
              <w:rPr>
                <w:b/>
                <w:bCs/>
                <w:spacing w:val="-12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hideMark/>
          </w:tcPr>
          <w:p w14:paraId="5C431C53" w14:textId="77777777" w:rsidR="00356462" w:rsidRPr="00356462" w:rsidRDefault="00356462" w:rsidP="00356462">
            <w:pPr>
              <w:jc w:val="center"/>
              <w:rPr>
                <w:b/>
                <w:bCs/>
              </w:rPr>
            </w:pPr>
            <w:r w:rsidRPr="00356462">
              <w:rPr>
                <w:b/>
                <w:bCs/>
                <w:w w:val="115"/>
              </w:rPr>
              <w:t>0,92</w:t>
            </w:r>
            <w:r w:rsidRPr="00356462">
              <w:rPr>
                <w:b/>
                <w:bCs/>
                <w:spacing w:val="-12"/>
                <w:w w:val="115"/>
              </w:rPr>
              <w:t xml:space="preserve"> </w:t>
            </w:r>
            <w:r w:rsidRPr="00356462">
              <w:rPr>
                <w:b/>
                <w:bCs/>
                <w:spacing w:val="-10"/>
                <w:w w:val="115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4" w:type="dxa"/>
            <w:tcBorders>
              <w:right w:val="single" w:sz="4" w:space="0" w:color="5B9BD5"/>
            </w:tcBorders>
            <w:hideMark/>
          </w:tcPr>
          <w:p w14:paraId="15A270F9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1,07</w:t>
            </w:r>
            <w:r w:rsidRPr="00356462">
              <w:rPr>
                <w:spacing w:val="-12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  <w:tr w:rsidR="00356462" w:rsidRPr="00356462" w14:paraId="4A95DB57" w14:textId="77777777" w:rsidTr="003564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45" w:type="dxa"/>
            <w:tcBorders>
              <w:left w:val="single" w:sz="4" w:space="0" w:color="5B9BD5"/>
              <w:bottom w:val="single" w:sz="4" w:space="0" w:color="5B9BD5"/>
            </w:tcBorders>
            <w:hideMark/>
          </w:tcPr>
          <w:p w14:paraId="659400A1" w14:textId="77777777" w:rsidR="00356462" w:rsidRPr="00356462" w:rsidRDefault="00356462" w:rsidP="00356462">
            <w:r w:rsidRPr="00356462">
              <w:rPr>
                <w:w w:val="115"/>
              </w:rPr>
              <w:t>Кърджали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bottom w:val="single" w:sz="4" w:space="0" w:color="5B9BD5"/>
            </w:tcBorders>
            <w:hideMark/>
          </w:tcPr>
          <w:p w14:paraId="79E8FBF9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0,41</w:t>
            </w:r>
            <w:r w:rsidRPr="00356462">
              <w:rPr>
                <w:spacing w:val="-13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  <w:tc>
          <w:tcPr>
            <w:tcW w:w="1360" w:type="dxa"/>
            <w:tcBorders>
              <w:left w:val="nil"/>
              <w:bottom w:val="single" w:sz="4" w:space="0" w:color="5B9BD5"/>
              <w:right w:val="nil"/>
            </w:tcBorders>
            <w:hideMark/>
          </w:tcPr>
          <w:p w14:paraId="7A177757" w14:textId="77777777" w:rsidR="00356462" w:rsidRPr="00356462" w:rsidRDefault="00356462" w:rsidP="0035646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356462">
              <w:rPr>
                <w:w w:val="115"/>
              </w:rPr>
              <w:t>0,46</w:t>
            </w:r>
            <w:r w:rsidRPr="00356462">
              <w:rPr>
                <w:spacing w:val="-12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bottom w:val="single" w:sz="4" w:space="0" w:color="5B9BD5"/>
            </w:tcBorders>
            <w:hideMark/>
          </w:tcPr>
          <w:p w14:paraId="714A366B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0,72</w:t>
            </w:r>
            <w:r w:rsidRPr="00356462">
              <w:rPr>
                <w:spacing w:val="-12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24" w:type="dxa"/>
            <w:tcBorders>
              <w:bottom w:val="single" w:sz="4" w:space="0" w:color="5B9BD5"/>
              <w:right w:val="single" w:sz="4" w:space="0" w:color="5B9BD5"/>
            </w:tcBorders>
            <w:hideMark/>
          </w:tcPr>
          <w:p w14:paraId="4716A3C7" w14:textId="77777777" w:rsidR="00356462" w:rsidRPr="00356462" w:rsidRDefault="00356462" w:rsidP="00356462">
            <w:pPr>
              <w:jc w:val="center"/>
            </w:pPr>
            <w:r w:rsidRPr="00356462">
              <w:rPr>
                <w:w w:val="115"/>
              </w:rPr>
              <w:t>0,77</w:t>
            </w:r>
            <w:r w:rsidRPr="00356462">
              <w:rPr>
                <w:spacing w:val="-12"/>
                <w:w w:val="115"/>
              </w:rPr>
              <w:t xml:space="preserve"> </w:t>
            </w:r>
            <w:r w:rsidRPr="00356462">
              <w:rPr>
                <w:spacing w:val="-10"/>
                <w:w w:val="115"/>
              </w:rPr>
              <w:t>€</w:t>
            </w:r>
          </w:p>
        </w:tc>
      </w:tr>
    </w:tbl>
    <w:p w14:paraId="720C6E78" w14:textId="77777777" w:rsidR="00356462" w:rsidRPr="00356462" w:rsidRDefault="00356462" w:rsidP="00356462">
      <w:pPr>
        <w:ind w:right="-18" w:firstLine="567"/>
        <w:jc w:val="both"/>
      </w:pPr>
    </w:p>
    <w:p w14:paraId="61F6F7F0" w14:textId="77777777" w:rsidR="00356462" w:rsidRPr="00356462" w:rsidRDefault="00356462" w:rsidP="00356462">
      <w:pPr>
        <w:ind w:right="-18" w:firstLine="567"/>
        <w:jc w:val="both"/>
      </w:pPr>
      <w:r w:rsidRPr="00356462">
        <w:t>Настоящото предложение е основано на принципите на прозрачност и публичност и предложеното решение няма да бъде в разрез с правото на европейската общност.</w:t>
      </w:r>
    </w:p>
    <w:p w14:paraId="5A92A640" w14:textId="77777777" w:rsidR="00356462" w:rsidRPr="00356462" w:rsidRDefault="00356462" w:rsidP="00356462">
      <w:pPr>
        <w:ind w:right="-18" w:firstLine="567"/>
        <w:jc w:val="both"/>
        <w:rPr>
          <w:noProof/>
        </w:rPr>
      </w:pPr>
      <w:r w:rsidRPr="00356462">
        <w:rPr>
          <w:noProof/>
        </w:rPr>
        <w:t>Целта е да се гарантира икономическата обоснованост на тарифите, покриване на себестойността на извършваните услуги за таксиметров превоз на пътници, както и осигуряване на устойчивост и качество на предлаганата транспортна услуга в интерес на гражданите и превозвачите.</w:t>
      </w:r>
    </w:p>
    <w:p w14:paraId="4700CCF3" w14:textId="77777777" w:rsidR="00356462" w:rsidRPr="00356462" w:rsidRDefault="00356462" w:rsidP="00356462">
      <w:pPr>
        <w:ind w:firstLine="567"/>
        <w:jc w:val="both"/>
        <w:rPr>
          <w:noProof/>
        </w:rPr>
      </w:pPr>
      <w:r w:rsidRPr="00356462">
        <w:rPr>
          <w:noProof/>
          <w:lang w:val="en-US"/>
        </w:rPr>
        <w:t>Очакваните резултати от предложението са: удовлетворяване на обществения интерес на заинтересованите лица, повишаване на качеството и безопасността на предоставяните таксиметрови услуги, постигане на по-голяма икономическа устойчивост на сектора, както и създаване на по-справедливи условия за всички участници на пазара.</w:t>
      </w:r>
    </w:p>
    <w:p w14:paraId="04C36F1B" w14:textId="77777777" w:rsidR="00356462" w:rsidRPr="00356462" w:rsidRDefault="00356462" w:rsidP="00356462">
      <w:pPr>
        <w:ind w:firstLine="567"/>
        <w:rPr>
          <w:noProof/>
        </w:rPr>
      </w:pPr>
      <w:r w:rsidRPr="00356462">
        <w:t>Предвид горното и на основание чл. 63, ал. 1 от Правилника за организация и дейността на ОбС-Русе, неговите комисии и взаимодействието му с общинската администрация, предлагам на Общинския съвет да вземе следното</w:t>
      </w:r>
    </w:p>
    <w:p w14:paraId="588A16B4" w14:textId="77777777" w:rsidR="00356462" w:rsidRPr="00356462" w:rsidRDefault="00356462" w:rsidP="00356462">
      <w:pPr>
        <w:ind w:right="-18"/>
        <w:jc w:val="both"/>
        <w:rPr>
          <w:lang w:val="en-US"/>
        </w:rPr>
      </w:pPr>
    </w:p>
    <w:p w14:paraId="4495E490" w14:textId="77777777" w:rsidR="00356462" w:rsidRPr="00356462" w:rsidRDefault="00356462" w:rsidP="00356462">
      <w:pPr>
        <w:ind w:right="-18"/>
        <w:jc w:val="center"/>
        <w:rPr>
          <w:b/>
          <w:lang w:val="en-US"/>
        </w:rPr>
      </w:pPr>
      <w:r w:rsidRPr="00356462">
        <w:rPr>
          <w:b/>
          <w:lang w:val="en-US"/>
        </w:rPr>
        <w:t>Р Е Ш Е Н И Е:</w:t>
      </w:r>
    </w:p>
    <w:p w14:paraId="456E34BD" w14:textId="77777777" w:rsidR="00356462" w:rsidRPr="00356462" w:rsidRDefault="00356462" w:rsidP="00356462">
      <w:pPr>
        <w:ind w:right="-18"/>
        <w:jc w:val="both"/>
        <w:rPr>
          <w:b/>
          <w:lang w:val="en-US"/>
        </w:rPr>
      </w:pPr>
    </w:p>
    <w:p w14:paraId="2FEA1AFE" w14:textId="77777777" w:rsidR="00356462" w:rsidRPr="00356462" w:rsidRDefault="00356462" w:rsidP="00356462">
      <w:pPr>
        <w:ind w:right="-18" w:firstLine="851"/>
        <w:jc w:val="both"/>
        <w:rPr>
          <w:iCs/>
        </w:rPr>
      </w:pPr>
      <w:r w:rsidRPr="00356462">
        <w:t xml:space="preserve">На основание чл. 21, ал. 2, във връзка с чл. 21, ал. 1, т. 23 от Закона за местното самоуправление и местната администрация, чл. 24а, ал.11 от Закона за  автомобилните превози и чл. </w:t>
      </w:r>
      <w:r w:rsidRPr="00356462">
        <w:rPr>
          <w:iCs/>
        </w:rPr>
        <w:t>24,ал. 4, ал. 5 и ал. 6 от Наредба №34 от 06.12.1999г. за таксиметров превоз на пътници издадена от Министъра на транспорта</w:t>
      </w:r>
      <w:r w:rsidRPr="00356462">
        <w:rPr>
          <w:iCs/>
          <w:lang w:val="en-US"/>
        </w:rPr>
        <w:t xml:space="preserve">, </w:t>
      </w:r>
      <w:r w:rsidRPr="00356462">
        <w:rPr>
          <w:iCs/>
        </w:rPr>
        <w:t>Общински съвет – Русе реши:</w:t>
      </w:r>
    </w:p>
    <w:p w14:paraId="431A3E11" w14:textId="77777777" w:rsidR="00356462" w:rsidRPr="00356462" w:rsidRDefault="00356462" w:rsidP="00356462">
      <w:pPr>
        <w:rPr>
          <w:iCs/>
        </w:rPr>
      </w:pPr>
    </w:p>
    <w:p w14:paraId="60CBEA11" w14:textId="77777777" w:rsidR="00356462" w:rsidRPr="00356462" w:rsidRDefault="00356462" w:rsidP="00356462">
      <w:pPr>
        <w:tabs>
          <w:tab w:val="left" w:pos="993"/>
          <w:tab w:val="left" w:pos="1276"/>
        </w:tabs>
        <w:ind w:firstLine="851"/>
        <w:jc w:val="both"/>
        <w:rPr>
          <w:iCs/>
        </w:rPr>
      </w:pPr>
      <w:r w:rsidRPr="00356462">
        <w:rPr>
          <w:b/>
          <w:bCs/>
          <w:iCs/>
          <w:lang w:val="en-US"/>
        </w:rPr>
        <w:t>§</w:t>
      </w:r>
      <w:r w:rsidRPr="00356462">
        <w:rPr>
          <w:b/>
          <w:bCs/>
          <w:iCs/>
        </w:rPr>
        <w:tab/>
        <w:t>1.</w:t>
      </w:r>
      <w:r w:rsidRPr="00356462">
        <w:rPr>
          <w:b/>
          <w:bCs/>
          <w:iCs/>
        </w:rPr>
        <w:tab/>
      </w:r>
      <w:r w:rsidRPr="00356462">
        <w:rPr>
          <w:iCs/>
        </w:rPr>
        <w:t>Актуализира цени за таксиметров превоз на пътници за един километър пробег на територията на Община Русе за 2026 г., както следва:</w:t>
      </w:r>
    </w:p>
    <w:p w14:paraId="09DF6A7E" w14:textId="77777777" w:rsidR="00356462" w:rsidRPr="00356462" w:rsidRDefault="00356462" w:rsidP="00356462">
      <w:pPr>
        <w:numPr>
          <w:ilvl w:val="0"/>
          <w:numId w:val="25"/>
        </w:numPr>
        <w:ind w:firstLine="1058"/>
        <w:jc w:val="both"/>
        <w:rPr>
          <w:iCs/>
        </w:rPr>
      </w:pPr>
      <w:r w:rsidRPr="00356462">
        <w:rPr>
          <w:iCs/>
        </w:rPr>
        <w:t>Минимални цени:</w:t>
      </w:r>
    </w:p>
    <w:p w14:paraId="5B050EDB" w14:textId="77777777" w:rsidR="00356462" w:rsidRPr="00356462" w:rsidRDefault="00356462" w:rsidP="00356462">
      <w:pPr>
        <w:numPr>
          <w:ilvl w:val="1"/>
          <w:numId w:val="25"/>
        </w:numPr>
        <w:ind w:firstLine="1335"/>
        <w:jc w:val="both"/>
        <w:rPr>
          <w:iCs/>
        </w:rPr>
      </w:pPr>
      <w:r w:rsidRPr="00356462">
        <w:rPr>
          <w:iCs/>
        </w:rPr>
        <w:t>Дневна тарифа – 0,70 €</w:t>
      </w:r>
    </w:p>
    <w:p w14:paraId="6C17D267" w14:textId="77777777" w:rsidR="00356462" w:rsidRPr="00356462" w:rsidRDefault="00356462" w:rsidP="00356462">
      <w:pPr>
        <w:numPr>
          <w:ilvl w:val="1"/>
          <w:numId w:val="25"/>
        </w:numPr>
        <w:ind w:firstLine="1335"/>
        <w:jc w:val="both"/>
        <w:rPr>
          <w:iCs/>
        </w:rPr>
      </w:pPr>
      <w:r w:rsidRPr="00356462">
        <w:rPr>
          <w:iCs/>
        </w:rPr>
        <w:t>Нощна тарифа – 0,80 €</w:t>
      </w:r>
    </w:p>
    <w:p w14:paraId="68EFBA5E" w14:textId="77777777" w:rsidR="00356462" w:rsidRPr="00356462" w:rsidRDefault="00356462" w:rsidP="00356462">
      <w:pPr>
        <w:numPr>
          <w:ilvl w:val="0"/>
          <w:numId w:val="25"/>
        </w:numPr>
        <w:ind w:firstLine="1058"/>
        <w:jc w:val="both"/>
        <w:rPr>
          <w:iCs/>
        </w:rPr>
      </w:pPr>
      <w:r w:rsidRPr="00356462">
        <w:rPr>
          <w:iCs/>
        </w:rPr>
        <w:t>Максимални цени:</w:t>
      </w:r>
    </w:p>
    <w:p w14:paraId="4FCD9937" w14:textId="77777777" w:rsidR="00356462" w:rsidRPr="00356462" w:rsidRDefault="00356462" w:rsidP="00356462">
      <w:pPr>
        <w:numPr>
          <w:ilvl w:val="1"/>
          <w:numId w:val="25"/>
        </w:numPr>
        <w:ind w:firstLine="1335"/>
        <w:jc w:val="both"/>
        <w:rPr>
          <w:iCs/>
        </w:rPr>
      </w:pPr>
      <w:r w:rsidRPr="00356462">
        <w:rPr>
          <w:iCs/>
        </w:rPr>
        <w:t>Дневна тарифа – 1,05 €</w:t>
      </w:r>
    </w:p>
    <w:p w14:paraId="1D7BB07E" w14:textId="77777777" w:rsidR="00356462" w:rsidRPr="00356462" w:rsidRDefault="00356462" w:rsidP="00356462">
      <w:pPr>
        <w:numPr>
          <w:ilvl w:val="1"/>
          <w:numId w:val="25"/>
        </w:numPr>
        <w:ind w:firstLine="1335"/>
        <w:jc w:val="both"/>
        <w:rPr>
          <w:iCs/>
        </w:rPr>
      </w:pPr>
      <w:r w:rsidRPr="00356462">
        <w:rPr>
          <w:iCs/>
        </w:rPr>
        <w:t>Нощна тарифа – 1,20 €</w:t>
      </w:r>
    </w:p>
    <w:p w14:paraId="2D2E9FA0" w14:textId="77777777" w:rsidR="00356462" w:rsidRPr="00356462" w:rsidRDefault="00356462" w:rsidP="00356462">
      <w:pPr>
        <w:tabs>
          <w:tab w:val="left" w:pos="993"/>
          <w:tab w:val="left" w:pos="1276"/>
        </w:tabs>
        <w:ind w:firstLine="851"/>
        <w:jc w:val="both"/>
        <w:rPr>
          <w:iCs/>
        </w:rPr>
      </w:pPr>
      <w:r w:rsidRPr="00356462">
        <w:rPr>
          <w:b/>
          <w:bCs/>
          <w:iCs/>
          <w:lang w:val="en-US"/>
        </w:rPr>
        <w:t>§</w:t>
      </w:r>
      <w:r w:rsidRPr="00356462">
        <w:rPr>
          <w:b/>
          <w:bCs/>
          <w:iCs/>
        </w:rPr>
        <w:tab/>
      </w:r>
      <w:r w:rsidRPr="00356462">
        <w:rPr>
          <w:b/>
          <w:bCs/>
          <w:iCs/>
          <w:lang w:val="en-US"/>
        </w:rPr>
        <w:t>2.</w:t>
      </w:r>
      <w:r w:rsidRPr="00356462">
        <w:rPr>
          <w:iCs/>
        </w:rPr>
        <w:tab/>
        <w:t>Актуализира максималния брой таксиметрови автомобили, работещи на територията на Община Русе – 750 броя.</w:t>
      </w:r>
    </w:p>
    <w:p w14:paraId="5DF080A2" w14:textId="77777777" w:rsidR="007F4BD8" w:rsidRDefault="007F4BD8" w:rsidP="00356462">
      <w:pPr>
        <w:ind w:left="-142" w:right="-18"/>
        <w:rPr>
          <w:b/>
        </w:rPr>
      </w:pPr>
    </w:p>
    <w:p w14:paraId="4BC0EC13" w14:textId="77777777" w:rsidR="007F4BD8" w:rsidRDefault="007F4BD8" w:rsidP="00356462">
      <w:pPr>
        <w:ind w:left="-142" w:right="-18"/>
        <w:rPr>
          <w:b/>
        </w:rPr>
      </w:pPr>
    </w:p>
    <w:p w14:paraId="734D05A2" w14:textId="6E83A795" w:rsidR="00356462" w:rsidRPr="00356462" w:rsidRDefault="00356462" w:rsidP="00356462">
      <w:pPr>
        <w:ind w:left="-142" w:right="-18"/>
        <w:rPr>
          <w:b/>
        </w:rPr>
      </w:pPr>
      <w:r w:rsidRPr="00356462">
        <w:rPr>
          <w:b/>
        </w:rPr>
        <w:t>ЗЛАТОМИРА СТЕФАНОВА</w:t>
      </w:r>
    </w:p>
    <w:p w14:paraId="6CDE1D4C" w14:textId="77777777" w:rsidR="00356462" w:rsidRPr="00356462" w:rsidRDefault="00356462" w:rsidP="00356462">
      <w:pPr>
        <w:ind w:left="-142" w:right="-18"/>
        <w:rPr>
          <w:i/>
        </w:rPr>
      </w:pPr>
      <w:r w:rsidRPr="00356462">
        <w:rPr>
          <w:i/>
        </w:rPr>
        <w:t>Зам.-</w:t>
      </w:r>
      <w:proofErr w:type="spellStart"/>
      <w:r w:rsidRPr="00356462">
        <w:rPr>
          <w:i/>
          <w:lang w:val="en-US"/>
        </w:rPr>
        <w:t>Кмет</w:t>
      </w:r>
      <w:proofErr w:type="spellEnd"/>
      <w:r w:rsidRPr="00356462">
        <w:rPr>
          <w:i/>
          <w:lang w:val="en-US"/>
        </w:rPr>
        <w:t xml:space="preserve"> </w:t>
      </w:r>
      <w:proofErr w:type="spellStart"/>
      <w:r w:rsidRPr="00356462">
        <w:rPr>
          <w:i/>
          <w:lang w:val="en-US"/>
        </w:rPr>
        <w:t>на</w:t>
      </w:r>
      <w:proofErr w:type="spellEnd"/>
      <w:r w:rsidRPr="00356462">
        <w:rPr>
          <w:i/>
          <w:lang w:val="en-US"/>
        </w:rPr>
        <w:t xml:space="preserve"> Община </w:t>
      </w:r>
      <w:proofErr w:type="spellStart"/>
      <w:r w:rsidRPr="00356462">
        <w:rPr>
          <w:i/>
          <w:lang w:val="en-US"/>
        </w:rPr>
        <w:t>Рус</w:t>
      </w:r>
      <w:proofErr w:type="spellEnd"/>
      <w:r w:rsidRPr="00356462">
        <w:rPr>
          <w:i/>
        </w:rPr>
        <w:t>е</w:t>
      </w:r>
    </w:p>
    <w:p w14:paraId="2016D9C8" w14:textId="77777777" w:rsidR="00356462" w:rsidRPr="00356462" w:rsidRDefault="00356462" w:rsidP="00356462">
      <w:pPr>
        <w:ind w:left="-142" w:right="-18"/>
        <w:rPr>
          <w:i/>
        </w:rPr>
      </w:pPr>
      <w:r w:rsidRPr="00356462">
        <w:rPr>
          <w:i/>
        </w:rPr>
        <w:t>За кмет на Община Русе,</w:t>
      </w:r>
    </w:p>
    <w:p w14:paraId="7E6384D0" w14:textId="093F048A" w:rsidR="00776BEA" w:rsidRDefault="00356462" w:rsidP="007F4BD8">
      <w:pPr>
        <w:ind w:left="-142" w:right="-18"/>
        <w:rPr>
          <w:b/>
        </w:rPr>
      </w:pPr>
      <w:r w:rsidRPr="00356462">
        <w:rPr>
          <w:i/>
        </w:rPr>
        <w:t>Съгласно Заповед №РД-01-954/26.03.2026г.</w:t>
      </w:r>
    </w:p>
    <w:sectPr w:rsidR="00776BEA" w:rsidSect="008008B0">
      <w:headerReference w:type="default" r:id="rId8"/>
      <w:footerReference w:type="default" r:id="rId9"/>
      <w:footerReference w:type="first" r:id="rId10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1126" w14:textId="77777777" w:rsidR="006E39F3" w:rsidRDefault="006E39F3">
      <w:r>
        <w:separator/>
      </w:r>
    </w:p>
  </w:endnote>
  <w:endnote w:type="continuationSeparator" w:id="0">
    <w:p w14:paraId="25272158" w14:textId="77777777" w:rsidR="006E39F3" w:rsidRDefault="006E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8008B0" w:rsidRPr="003A1F6F" w14:paraId="7D52CC19" w14:textId="77777777" w:rsidTr="00A46310">
      <w:tc>
        <w:tcPr>
          <w:tcW w:w="9468" w:type="dxa"/>
          <w:shd w:val="clear" w:color="auto" w:fill="F3F3F3"/>
        </w:tcPr>
        <w:p w14:paraId="6C3079E4" w14:textId="77777777" w:rsidR="008008B0" w:rsidRDefault="008008B0" w:rsidP="008008B0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1AC11BC3" w14:textId="51AC99E1" w:rsidR="008008B0" w:rsidRPr="003E7BDB" w:rsidRDefault="008008B0" w:rsidP="008008B0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8008B0" w:rsidRPr="003A1F6F" w14:paraId="24201422" w14:textId="77777777" w:rsidTr="00A46310">
      <w:tc>
        <w:tcPr>
          <w:tcW w:w="9468" w:type="dxa"/>
          <w:shd w:val="clear" w:color="auto" w:fill="F3F3F3"/>
        </w:tcPr>
        <w:p w14:paraId="6C6CC720" w14:textId="77777777" w:rsidR="008008B0" w:rsidRPr="003A1F6F" w:rsidRDefault="008008B0" w:rsidP="008008B0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ruse.eu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855F" w14:textId="77777777" w:rsidR="006E39F3" w:rsidRDefault="006E39F3">
      <w:r>
        <w:separator/>
      </w:r>
    </w:p>
  </w:footnote>
  <w:footnote w:type="continuationSeparator" w:id="0">
    <w:p w14:paraId="4FD12311" w14:textId="77777777" w:rsidR="006E39F3" w:rsidRDefault="006E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1A86D7BC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1D1A5D46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03316A6"/>
    <w:multiLevelType w:val="hybridMultilevel"/>
    <w:tmpl w:val="732CC45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A1176"/>
    <w:multiLevelType w:val="hybridMultilevel"/>
    <w:tmpl w:val="E1EA6200"/>
    <w:lvl w:ilvl="0" w:tplc="9D569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6E46345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16504">
    <w:abstractNumId w:val="14"/>
  </w:num>
  <w:num w:numId="2" w16cid:durableId="1402679893">
    <w:abstractNumId w:val="10"/>
  </w:num>
  <w:num w:numId="3" w16cid:durableId="17120426">
    <w:abstractNumId w:val="15"/>
  </w:num>
  <w:num w:numId="4" w16cid:durableId="403377873">
    <w:abstractNumId w:val="3"/>
  </w:num>
  <w:num w:numId="5" w16cid:durableId="260526035">
    <w:abstractNumId w:val="11"/>
  </w:num>
  <w:num w:numId="6" w16cid:durableId="566453841">
    <w:abstractNumId w:val="19"/>
  </w:num>
  <w:num w:numId="7" w16cid:durableId="875001207">
    <w:abstractNumId w:val="2"/>
  </w:num>
  <w:num w:numId="8" w16cid:durableId="2055498633">
    <w:abstractNumId w:val="8"/>
  </w:num>
  <w:num w:numId="9" w16cid:durableId="632902830">
    <w:abstractNumId w:val="16"/>
  </w:num>
  <w:num w:numId="10" w16cid:durableId="1431193619">
    <w:abstractNumId w:val="18"/>
  </w:num>
  <w:num w:numId="11" w16cid:durableId="1733381658">
    <w:abstractNumId w:val="4"/>
  </w:num>
  <w:num w:numId="12" w16cid:durableId="671226836">
    <w:abstractNumId w:val="6"/>
  </w:num>
  <w:num w:numId="13" w16cid:durableId="1448158578">
    <w:abstractNumId w:val="7"/>
  </w:num>
  <w:num w:numId="14" w16cid:durableId="1825848614">
    <w:abstractNumId w:val="9"/>
  </w:num>
  <w:num w:numId="15" w16cid:durableId="1037972139">
    <w:abstractNumId w:val="21"/>
  </w:num>
  <w:num w:numId="16" w16cid:durableId="237205412">
    <w:abstractNumId w:val="1"/>
  </w:num>
  <w:num w:numId="17" w16cid:durableId="861674109">
    <w:abstractNumId w:val="13"/>
  </w:num>
  <w:num w:numId="18" w16cid:durableId="1664778135">
    <w:abstractNumId w:val="17"/>
  </w:num>
  <w:num w:numId="19" w16cid:durableId="1024016869">
    <w:abstractNumId w:val="0"/>
  </w:num>
  <w:num w:numId="20" w16cid:durableId="1718042611">
    <w:abstractNumId w:val="5"/>
  </w:num>
  <w:num w:numId="21" w16cid:durableId="2082369848">
    <w:abstractNumId w:val="12"/>
  </w:num>
  <w:num w:numId="22" w16cid:durableId="457259385">
    <w:abstractNumId w:val="20"/>
  </w:num>
  <w:num w:numId="23" w16cid:durableId="942880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2248270">
    <w:abstractNumId w:val="12"/>
  </w:num>
  <w:num w:numId="25" w16cid:durableId="15486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1D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0CCC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0202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56462"/>
    <w:rsid w:val="003606A8"/>
    <w:rsid w:val="00361C49"/>
    <w:rsid w:val="00361F3A"/>
    <w:rsid w:val="00362DE1"/>
    <w:rsid w:val="00364824"/>
    <w:rsid w:val="00365EC7"/>
    <w:rsid w:val="00367299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3209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86D27"/>
    <w:rsid w:val="0049369A"/>
    <w:rsid w:val="00496A3B"/>
    <w:rsid w:val="00496BBC"/>
    <w:rsid w:val="004973F3"/>
    <w:rsid w:val="004A1321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E39F3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BEA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4BD8"/>
    <w:rsid w:val="007F588A"/>
    <w:rsid w:val="007F60A5"/>
    <w:rsid w:val="007F73F5"/>
    <w:rsid w:val="008008B0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04EEA"/>
    <w:rsid w:val="009104C0"/>
    <w:rsid w:val="00910F1E"/>
    <w:rsid w:val="00915D74"/>
    <w:rsid w:val="00916ED5"/>
    <w:rsid w:val="009207F7"/>
    <w:rsid w:val="00921999"/>
    <w:rsid w:val="00922C61"/>
    <w:rsid w:val="00923101"/>
    <w:rsid w:val="00924EA7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133A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498C"/>
    <w:rsid w:val="00A8635D"/>
    <w:rsid w:val="00A8715C"/>
    <w:rsid w:val="00A9025A"/>
    <w:rsid w:val="00A92B81"/>
    <w:rsid w:val="00A930E0"/>
    <w:rsid w:val="00A9585E"/>
    <w:rsid w:val="00A96255"/>
    <w:rsid w:val="00A967F7"/>
    <w:rsid w:val="00A97BDD"/>
    <w:rsid w:val="00AA2C12"/>
    <w:rsid w:val="00AA465A"/>
    <w:rsid w:val="00AA6F77"/>
    <w:rsid w:val="00AB4FEB"/>
    <w:rsid w:val="00AB607B"/>
    <w:rsid w:val="00AC6881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0C76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0CD4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2A95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42AE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AC2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3199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8008B0"/>
    <w:rPr>
      <w:sz w:val="24"/>
      <w:szCs w:val="24"/>
    </w:rPr>
  </w:style>
  <w:style w:type="table" w:customStyle="1" w:styleId="311">
    <w:name w:val="Таблица със списък 3 – акцентиране 11"/>
    <w:basedOn w:val="a1"/>
    <w:next w:val="31"/>
    <w:uiPriority w:val="48"/>
    <w:rsid w:val="0035646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1">
    <w:name w:val="List Table 3 Accent 1"/>
    <w:basedOn w:val="a1"/>
    <w:uiPriority w:val="48"/>
    <w:rsid w:val="0035646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aa">
    <w:name w:val="Заглавие Знак"/>
    <w:basedOn w:val="a0"/>
    <w:link w:val="a9"/>
    <w:uiPriority w:val="1"/>
    <w:rsid w:val="007F4BD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1343-7067-4FE9-8C32-FE578E9A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6940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4</cp:revision>
  <cp:lastPrinted>2026-04-09T06:31:00Z</cp:lastPrinted>
  <dcterms:created xsi:type="dcterms:W3CDTF">2026-04-09T06:32:00Z</dcterms:created>
  <dcterms:modified xsi:type="dcterms:W3CDTF">2026-04-09T07:23:00Z</dcterms:modified>
</cp:coreProperties>
</file>