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4290" w14:textId="77777777" w:rsidR="00E874AF" w:rsidRDefault="00E874AF" w:rsidP="00E874AF">
      <w:pPr>
        <w:spacing w:line="240" w:lineRule="auto"/>
        <w:jc w:val="right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Препис-извлечение</w:t>
      </w:r>
      <w:proofErr w:type="spellEnd"/>
      <w:r>
        <w:rPr>
          <w:rFonts w:ascii="Times New Roman" w:hAnsi="Times New Roman" w:cs="Times New Roman"/>
          <w:b/>
          <w:sz w:val="32"/>
        </w:rPr>
        <w:t>!</w:t>
      </w:r>
    </w:p>
    <w:p w14:paraId="59475305" w14:textId="77777777" w:rsidR="00E874AF" w:rsidRDefault="00E874AF" w:rsidP="00E874AF">
      <w:pPr>
        <w:spacing w:line="240" w:lineRule="auto"/>
        <w:rPr>
          <w:rFonts w:ascii="Times New Roman" w:hAnsi="Times New Roman" w:cs="Times New Roman"/>
          <w:sz w:val="32"/>
        </w:rPr>
      </w:pPr>
    </w:p>
    <w:p w14:paraId="2048D650" w14:textId="77777777" w:rsidR="00E874AF" w:rsidRDefault="00E874AF" w:rsidP="00E874AF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ОБЩИНСКИ СЪВЕТ – РУСЕ</w:t>
      </w:r>
    </w:p>
    <w:p w14:paraId="25527954" w14:textId="6BD43210" w:rsidR="00E874AF" w:rsidRPr="003B7AA9" w:rsidRDefault="00E874AF" w:rsidP="00E874AF">
      <w:pPr>
        <w:pStyle w:val="1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</w:pPr>
      <w:r w:rsidRPr="00452192">
        <w:rPr>
          <w:rFonts w:ascii="Times New Roman" w:hAnsi="Times New Roman" w:cs="Times New Roman"/>
          <w:b/>
          <w:color w:val="auto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b/>
          <w:color w:val="auto"/>
          <w:sz w:val="32"/>
          <w:szCs w:val="32"/>
          <w:lang w:val="bg-BG"/>
        </w:rPr>
        <w:t>963</w:t>
      </w:r>
    </w:p>
    <w:p w14:paraId="6805632E" w14:textId="77777777" w:rsidR="00E874AF" w:rsidRDefault="00E874AF" w:rsidP="00E874AF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Прието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32"/>
        </w:rPr>
        <w:t>Протокол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№ </w:t>
      </w:r>
      <w:r>
        <w:rPr>
          <w:rFonts w:ascii="Times New Roman" w:hAnsi="Times New Roman" w:cs="Times New Roman"/>
          <w:b/>
          <w:sz w:val="32"/>
          <w:lang w:val="bg-BG"/>
        </w:rPr>
        <w:t>33</w:t>
      </w:r>
      <w:r>
        <w:rPr>
          <w:rFonts w:ascii="Times New Roman" w:hAnsi="Times New Roman" w:cs="Times New Roman"/>
          <w:b/>
          <w:sz w:val="32"/>
        </w:rPr>
        <w:t>/</w:t>
      </w:r>
      <w:r>
        <w:rPr>
          <w:rFonts w:ascii="Times New Roman" w:hAnsi="Times New Roman" w:cs="Times New Roman"/>
          <w:b/>
          <w:sz w:val="32"/>
          <w:lang w:val="bg-BG"/>
        </w:rPr>
        <w:t>30</w:t>
      </w:r>
      <w:r>
        <w:rPr>
          <w:rFonts w:ascii="Times New Roman" w:hAnsi="Times New Roman" w:cs="Times New Roman"/>
          <w:b/>
          <w:sz w:val="32"/>
        </w:rPr>
        <w:t>.</w:t>
      </w:r>
      <w:r>
        <w:rPr>
          <w:rFonts w:ascii="Times New Roman" w:hAnsi="Times New Roman" w:cs="Times New Roman"/>
          <w:b/>
          <w:sz w:val="32"/>
          <w:lang w:val="bg-BG"/>
        </w:rPr>
        <w:t>04</w:t>
      </w:r>
      <w:r>
        <w:rPr>
          <w:rFonts w:ascii="Times New Roman" w:hAnsi="Times New Roman" w:cs="Times New Roman"/>
          <w:b/>
          <w:sz w:val="32"/>
        </w:rPr>
        <w:t>.202</w:t>
      </w:r>
      <w:r>
        <w:rPr>
          <w:rFonts w:ascii="Times New Roman" w:hAnsi="Times New Roman" w:cs="Times New Roman"/>
          <w:b/>
          <w:sz w:val="32"/>
          <w:lang w:val="bg-BG"/>
        </w:rPr>
        <w:t>6</w:t>
      </w:r>
      <w:r>
        <w:rPr>
          <w:rFonts w:ascii="Times New Roman" w:hAnsi="Times New Roman" w:cs="Times New Roman"/>
          <w:b/>
          <w:sz w:val="32"/>
        </w:rPr>
        <w:t>г.</w:t>
      </w:r>
    </w:p>
    <w:p w14:paraId="31BAC97B" w14:textId="77777777" w:rsidR="00E874AF" w:rsidRDefault="00E874AF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0517E" w14:textId="77777777" w:rsidR="00E874AF" w:rsidRPr="004F40C5" w:rsidRDefault="00E874AF" w:rsidP="00E874AF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3D33880" w14:textId="77777777" w:rsidR="00E874AF" w:rsidRDefault="00E874AF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67E3845" w14:textId="77777777" w:rsidR="00D67CA4" w:rsidRPr="00A5771B" w:rsidRDefault="00D67CA4" w:rsidP="00D67C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>1,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>8 и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 xml:space="preserve">23,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. 21,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ЗМСМА и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>14,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Раздел IV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Учредителния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Фондация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„Русе -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свободния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71B">
        <w:rPr>
          <w:rFonts w:ascii="Times New Roman" w:hAnsi="Times New Roman" w:cs="Times New Roman"/>
          <w:sz w:val="24"/>
          <w:szCs w:val="24"/>
        </w:rPr>
        <w:t>дух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“ ,</w:t>
      </w:r>
      <w:proofErr w:type="gram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и с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 xml:space="preserve">4 и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 xml:space="preserve">9,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осъществяване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общественополезна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набиране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разходване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имуществото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Фондация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„Русе –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свободния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71B">
        <w:rPr>
          <w:rFonts w:ascii="Times New Roman" w:hAnsi="Times New Roman" w:cs="Times New Roman"/>
          <w:sz w:val="24"/>
          <w:szCs w:val="24"/>
        </w:rPr>
        <w:t>дух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3418814" w14:textId="77777777" w:rsidR="00D67CA4" w:rsidRPr="00A5771B" w:rsidRDefault="00D67CA4" w:rsidP="00D67CA4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E5F60" w14:textId="77777777" w:rsidR="00D67CA4" w:rsidRPr="00A5771B" w:rsidRDefault="00D67CA4" w:rsidP="00D67CA4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6DC64F" w14:textId="77777777" w:rsidR="00D67CA4" w:rsidRPr="00A5771B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771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Приема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Фондация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„Русе –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свободния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71B">
        <w:rPr>
          <w:rFonts w:ascii="Times New Roman" w:hAnsi="Times New Roman" w:cs="Times New Roman"/>
          <w:sz w:val="24"/>
          <w:szCs w:val="24"/>
        </w:rPr>
        <w:t>дух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A5771B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5771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7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Приложени</w:t>
      </w:r>
      <w:proofErr w:type="spellEnd"/>
      <w:r w:rsidRPr="00A5771B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A5771B">
        <w:rPr>
          <w:rFonts w:ascii="Times New Roman" w:hAnsi="Times New Roman" w:cs="Times New Roman"/>
          <w:sz w:val="24"/>
          <w:szCs w:val="24"/>
        </w:rPr>
        <w:t xml:space="preserve"> 1/</w:t>
      </w:r>
    </w:p>
    <w:p w14:paraId="5C5D95C5" w14:textId="77777777" w:rsidR="00D67CA4" w:rsidRPr="00A5771B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771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Одобрява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годишен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отчет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Фондация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„Русе –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свободния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771B">
        <w:rPr>
          <w:rFonts w:ascii="Times New Roman" w:hAnsi="Times New Roman" w:cs="Times New Roman"/>
          <w:sz w:val="24"/>
          <w:szCs w:val="24"/>
        </w:rPr>
        <w:t>дух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A5771B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025</w:t>
      </w:r>
      <w:r w:rsidRPr="00A5771B">
        <w:rPr>
          <w:rFonts w:ascii="Times New Roman" w:hAnsi="Times New Roman" w:cs="Times New Roman"/>
          <w:sz w:val="24"/>
          <w:szCs w:val="24"/>
        </w:rPr>
        <w:t xml:space="preserve"> г. /</w:t>
      </w:r>
      <w:proofErr w:type="spellStart"/>
      <w:r w:rsidRPr="00A5771B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A5771B">
        <w:rPr>
          <w:rFonts w:ascii="Times New Roman" w:hAnsi="Times New Roman" w:cs="Times New Roman"/>
          <w:sz w:val="24"/>
          <w:szCs w:val="24"/>
        </w:rPr>
        <w:t xml:space="preserve"> 2/   </w:t>
      </w:r>
    </w:p>
    <w:p w14:paraId="592B454A" w14:textId="77777777" w:rsidR="00E874AF" w:rsidRDefault="00E874AF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249D531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6FDD1A6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434E2DE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9FEA1B7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C72363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EDB4230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FCBCA08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37AA63A" w14:textId="77777777" w:rsidR="00D67CA4" w:rsidRDefault="00D67CA4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C0E09F6" w14:textId="77777777" w:rsidR="00E874AF" w:rsidRDefault="00E874AF" w:rsidP="00E874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1A119A6" w14:textId="77777777" w:rsidR="00E874AF" w:rsidRDefault="00E874AF" w:rsidP="00E874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4C61FC1A" w14:textId="77777777" w:rsidR="00E874AF" w:rsidRDefault="00E874AF" w:rsidP="00E874AF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6114297" w14:textId="77777777" w:rsidR="00E874AF" w:rsidRDefault="00E874AF" w:rsidP="00E874AF"/>
    <w:p w14:paraId="3F349032" w14:textId="77777777" w:rsidR="00E874AF" w:rsidRDefault="00E874AF" w:rsidP="00E874AF"/>
    <w:p w14:paraId="5E8C92DF" w14:textId="77777777" w:rsidR="00E874AF" w:rsidRDefault="00E874AF" w:rsidP="00E874AF"/>
    <w:p w14:paraId="51EB6481" w14:textId="77777777" w:rsidR="00E874AF" w:rsidRDefault="00E874AF" w:rsidP="00E874AF"/>
    <w:p w14:paraId="2557F6F6" w14:textId="77777777" w:rsidR="004864C1" w:rsidRDefault="004864C1">
      <w:pPr>
        <w:rPr>
          <w:lang w:val="bg-BG"/>
        </w:rPr>
      </w:pPr>
    </w:p>
    <w:p w14:paraId="05A41C78" w14:textId="77777777" w:rsidR="00D67CA4" w:rsidRDefault="00D67CA4">
      <w:pPr>
        <w:rPr>
          <w:lang w:val="bg-BG"/>
        </w:rPr>
      </w:pPr>
    </w:p>
    <w:p w14:paraId="7C4DC360" w14:textId="77777777" w:rsidR="00D67CA4" w:rsidRDefault="00D67CA4">
      <w:pPr>
        <w:rPr>
          <w:lang w:val="bg-BG"/>
        </w:rPr>
      </w:pPr>
    </w:p>
    <w:p w14:paraId="005E699C" w14:textId="77777777" w:rsidR="00D67CA4" w:rsidRDefault="00D67CA4">
      <w:pPr>
        <w:rPr>
          <w:lang w:val="bg-BG"/>
        </w:rPr>
      </w:pPr>
    </w:p>
    <w:p w14:paraId="2649B82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296EDA" w14:textId="77777777" w:rsidR="00D67CA4" w:rsidRPr="00D67CA4" w:rsidRDefault="00D67CA4" w:rsidP="00D67CA4">
      <w:pPr>
        <w:spacing w:after="0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7CA4">
        <w:rPr>
          <w:rFonts w:ascii="Times New Roman" w:hAnsi="Times New Roman" w:cs="Times New Roman"/>
          <w:b/>
          <w:sz w:val="24"/>
          <w:szCs w:val="24"/>
        </w:rPr>
        <w:t>Приложение</w:t>
      </w:r>
      <w:proofErr w:type="spellEnd"/>
      <w:r w:rsidRPr="00D67CA4">
        <w:rPr>
          <w:rFonts w:ascii="Times New Roman" w:hAnsi="Times New Roman" w:cs="Times New Roman"/>
          <w:b/>
          <w:sz w:val="24"/>
          <w:szCs w:val="24"/>
        </w:rPr>
        <w:t xml:space="preserve"> № 1 </w:t>
      </w:r>
    </w:p>
    <w:p w14:paraId="518E891F" w14:textId="77777777" w:rsidR="00D67CA4" w:rsidRPr="00D67CA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F41B3" w14:textId="77777777" w:rsidR="00D67CA4" w:rsidRPr="00D67CA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86F42" w14:textId="77777777" w:rsidR="00D67CA4" w:rsidRPr="00D67CA4" w:rsidRDefault="00D67CA4" w:rsidP="00D67CA4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CA4">
        <w:rPr>
          <w:rFonts w:ascii="Times New Roman" w:hAnsi="Times New Roman" w:cs="Times New Roman"/>
          <w:b/>
          <w:sz w:val="24"/>
          <w:szCs w:val="24"/>
        </w:rPr>
        <w:t>ОТЧЕТ ЗА ДЕЙНОСТТА НА ФОНДАЦИЯ</w:t>
      </w:r>
    </w:p>
    <w:p w14:paraId="6CD0FAC9" w14:textId="3B87AD2F" w:rsidR="00D67CA4" w:rsidRPr="00D67CA4" w:rsidRDefault="00D67CA4" w:rsidP="00D67CA4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CA4">
        <w:rPr>
          <w:rFonts w:ascii="Times New Roman" w:hAnsi="Times New Roman" w:cs="Times New Roman"/>
          <w:b/>
          <w:sz w:val="24"/>
          <w:szCs w:val="24"/>
        </w:rPr>
        <w:t xml:space="preserve">„РУСЕ – ГРАД НА СВОБОДНИЯ </w:t>
      </w:r>
      <w:proofErr w:type="gramStart"/>
      <w:r w:rsidRPr="00D67CA4">
        <w:rPr>
          <w:rFonts w:ascii="Times New Roman" w:hAnsi="Times New Roman" w:cs="Times New Roman"/>
          <w:b/>
          <w:sz w:val="24"/>
          <w:szCs w:val="24"/>
        </w:rPr>
        <w:t>ДУХ“</w:t>
      </w:r>
      <w:proofErr w:type="gramEnd"/>
    </w:p>
    <w:p w14:paraId="1B76721E" w14:textId="6D2EAA7F" w:rsidR="00D67CA4" w:rsidRPr="00D67CA4" w:rsidRDefault="00D67CA4" w:rsidP="00D67CA4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CA4">
        <w:rPr>
          <w:rFonts w:ascii="Times New Roman" w:hAnsi="Times New Roman" w:cs="Times New Roman"/>
          <w:b/>
          <w:sz w:val="24"/>
          <w:szCs w:val="24"/>
        </w:rPr>
        <w:t>ЗА ПЕРИОДА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D67CA4">
        <w:rPr>
          <w:rFonts w:ascii="Times New Roman" w:hAnsi="Times New Roman" w:cs="Times New Roman"/>
          <w:b/>
          <w:sz w:val="24"/>
          <w:szCs w:val="24"/>
        </w:rPr>
        <w:t>1 ЯНУАРИ –</w:t>
      </w:r>
      <w:r w:rsidRPr="00D67CA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67CA4">
        <w:rPr>
          <w:rFonts w:ascii="Times New Roman" w:hAnsi="Times New Roman" w:cs="Times New Roman"/>
          <w:b/>
          <w:sz w:val="24"/>
          <w:szCs w:val="24"/>
        </w:rPr>
        <w:t>31 ДЕКЕМВРИ 2025 Г.</w:t>
      </w:r>
    </w:p>
    <w:p w14:paraId="2A04BC12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AFC9D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7CF4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През 2025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усилената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успешна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позиционирането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могат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областта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технологии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забавляват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унисон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стриктна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координация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Туризъм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взаимното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допълване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пълноценна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привличането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максимален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брой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Русе.</w:t>
      </w:r>
    </w:p>
    <w:p w14:paraId="78C6763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Въпреки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предизвикателната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икономическа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повишаващите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услуги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с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гъвкавост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събитийната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съответствие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поставените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насоки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Равносметката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привличането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десетки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каузата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стимулиране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туризма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обмена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знание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масовия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ключови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елементи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идентичност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отчетния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сметката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постъпиха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стойност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76 010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привлечени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лицето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ЕООД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Ником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 ООД.</w:t>
      </w:r>
    </w:p>
    <w:p w14:paraId="70B2A72C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През 2025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връзка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проведоха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Създадени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951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продукта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26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3 674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доброволци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144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124 860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съпреживяха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зрители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читатели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908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медийни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достояние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по-широк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кръг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чужбина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C4390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Успешно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продължихме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станалите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традиционни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Националния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ОБИЧАМЕ РУСЕ, Ruse</w:t>
      </w:r>
      <w:r w:rsidRPr="00C51E2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51E24">
        <w:rPr>
          <w:rFonts w:ascii="Times New Roman" w:hAnsi="Times New Roman" w:cs="Times New Roman"/>
          <w:bCs/>
          <w:sz w:val="24"/>
          <w:szCs w:val="24"/>
        </w:rPr>
        <w:t xml:space="preserve">Light </w:t>
      </w:r>
      <w:r w:rsidRPr="00C51E2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&amp; </w:t>
      </w:r>
      <w:r w:rsidRPr="00C51E24">
        <w:rPr>
          <w:rFonts w:ascii="Times New Roman" w:hAnsi="Times New Roman" w:cs="Times New Roman"/>
          <w:bCs/>
          <w:sz w:val="24"/>
          <w:szCs w:val="24"/>
        </w:rPr>
        <w:t>Rhythm</w:t>
      </w:r>
      <w:r w:rsidRPr="00C51E2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51E24">
        <w:rPr>
          <w:rFonts w:ascii="Times New Roman" w:hAnsi="Times New Roman" w:cs="Times New Roman"/>
          <w:bCs/>
          <w:sz w:val="24"/>
          <w:szCs w:val="24"/>
        </w:rPr>
        <w:t>Fest</w:t>
      </w:r>
      <w:r w:rsidRPr="00C51E2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Мaska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съвместната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Държавен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архив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 –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Фотоконкурсът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ОБИЧАМЕ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рекорден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брой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изображения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показаха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засилен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красотата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палитра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отдих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Русенските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пропуснаха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изпратят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номинации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любимите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Вълнението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сълзите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очите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преподаватели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потвърждение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важна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общуването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CB6BC6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Продължихме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провеждането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Фондацията,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стартираха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тенденцията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устойчиви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традиционни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битки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посветено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началото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ваканция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домашните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любимци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Сдружение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Напред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домашни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любимци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кея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радваха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внимание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забавления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стопани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широка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0F25C4D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</w:t>
      </w:r>
    </w:p>
    <w:p w14:paraId="4CCBD9D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Русе“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ежегодно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талантливи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изявяващи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областите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технологии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Подкрепяме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финансово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морално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знаещите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можещите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даваме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криле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размах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надежда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смелост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715EE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През 2025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постъпиха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искания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одобрени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6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финансирани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:</w:t>
      </w:r>
    </w:p>
    <w:p w14:paraId="6F52B48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E4C5D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Андреа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XVII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изпълнителни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инструменталисти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Тревизо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11-13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април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</w:t>
      </w:r>
    </w:p>
    <w:p w14:paraId="2D86631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Решение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Управителния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бюджета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отделени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покрити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94DDC6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Андреа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свири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цигулка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ранна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възраст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лауреат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множество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национални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Ученичка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в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НУИ ”</w:t>
      </w:r>
      <w:proofErr w:type="spellStart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Проф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Веселин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Стоянов” Русе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Галина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Карааргирова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взема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чужбина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майсторски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Мичо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Димитров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Разлог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Русе;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Йосиф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Радионов,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Миранда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Лиу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Габриел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Кройтору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Гинка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Гичкова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Стефан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Камиларов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Христофор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Маринов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Деворина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Гамалова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Трявна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цигуларка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конкуренция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D,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Андреа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почетното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резултат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92/100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0CBC0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цигуларка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Андреа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Тревизо,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XVII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изпълнителни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инструменталисти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International Competition "Giovani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Musicisti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Città di Treviso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завоювана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надпревара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4968D93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C1EDE2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Вероника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Илиева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клавирен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PREMIO TOSCANA CITTA' DI CASCINA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Кашина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11-15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</w:t>
      </w:r>
    </w:p>
    <w:p w14:paraId="20CFDAC2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Решение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Управителния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бюджета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отделени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покрити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080E6E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талантлива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пианистка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Вероника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Илиева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клавирен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PREMIO TOSCANA CITTA' DI CASCINA,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Кашина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значимите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европейския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календар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привличащо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стотици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цял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ACAM (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Асоциация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Кашина)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художественото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ръководство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световноизвестния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маестро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Даниел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Ривера, PREMIO TOSCANA CITTA' DI CASCINA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предоставя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изключителна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платформа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бъдещи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концертни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високото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строгите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критерии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оценка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стипендии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концерти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отварящи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врати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подобен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форум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безценен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признание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всеки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1E768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Вероника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Илиева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обещаваща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пианистка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възпитаничка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НУИ "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Веселин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Стоянов" в Русе,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множество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състезава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изключително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предизвикателни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произведения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Моцарт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балада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Лист.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творби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изискват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виртуозна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дълбока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музикалност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подчертава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високото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подготовка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пианистка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B576A6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Вероника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забележителни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умения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състезаваше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11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Италия,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Китай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изключително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оспорвана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надпревара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впечатли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постигайки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резултат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96/100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спечели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категорично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признание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нейния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усърдие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висока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подготовка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победа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личен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Вероника,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гордост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доказателство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потенциала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5B033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954B9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Мажоретен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Екстрийм, ФТС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балет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Импулс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„La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Spiagge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d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Italia“ в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Ричоне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23-30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</w:t>
      </w:r>
    </w:p>
    <w:p w14:paraId="5F8219D3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Решение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Управителния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бюджета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отделени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целево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покрит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транспорт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таксата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танцьори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Ричоне,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23 – 30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мажоретен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Екстрийм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с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ръководители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Милена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Лазарова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Вероника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Миланова, ТС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Импулс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с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ръководител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Петя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ФТС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Зора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с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ръководител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Ренета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Стефанова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младежки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престижния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Форумът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ежегодно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600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държави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най-значимите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Италианската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ривиера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превръщайки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платформа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традиции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съвременно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25AD6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Русенските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подготвиха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концертни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демонстрираха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висок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професионализъм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артистичност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хармония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красивата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република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Марино,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всеки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удостоен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подарък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управа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признание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концертна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състоя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Кориано,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провинция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Римини,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Емилия-Романя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плакети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грамоти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талантливите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Баяна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Николова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Бонева,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Габриела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Красимирова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Радева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дипломи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обновена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концепция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превръщане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истински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редом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Латвия,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Естония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Румъния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срещнат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обменят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завърнаха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щастливи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удовлетворени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носейки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сплотеност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идеи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бъдещи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7A755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ДЮФА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Зорница“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 в VIII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фолклорен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Босна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Херцеговина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в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Високо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 – 25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</w:t>
      </w:r>
    </w:p>
    <w:p w14:paraId="79F4E03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Решение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Управителния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бюджета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отделени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покрит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транспорт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автобус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танцьори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24AE571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Детско-юношески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фолклорен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ансамбъл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Зорница“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изключително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успешно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VIII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фолклорен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Босна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Херцеговина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градовете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Високо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Витез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и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общности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сътрудничество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Европейската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асоциация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фолклорните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Танцьорите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ДЮФА "Зорница",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хореографи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Милена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Михова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Райчев,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народният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ансамбъла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диригент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Светлана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Недкова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Петрова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завладявайки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сърцата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многобройната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концертни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двете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вечери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дефилета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улиците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ансамбълът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фолклор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песни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костюми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50E7E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официалните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Босна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Херцеговина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Н.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Валери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Йотов.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Дипломатът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отправи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ДЮФА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Зорница“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Сараево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началото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следващата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0DD908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FECF22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2025</w:t>
      </w:r>
      <w:proofErr w:type="gramEnd"/>
    </w:p>
    <w:p w14:paraId="305D0C64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поредна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През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месец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училища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номинираха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емоционални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видеопослания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званието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Преподавателите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изненадани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видеата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предизвикаха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много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вълнения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стигнаха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г-н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Енчо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Енчев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Управителния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Фондацията, д-р Росица Георгиева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началник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РУО – Русе и г-н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Цветослав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Димитров,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Директор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дирекция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в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поздравиха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носителите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Основен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критерий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оценяване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автентичността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искреността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видеопосланията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Съобразно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подадената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информация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мотивите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номинациите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определи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шестима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носители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Статуетката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лаптоп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Венцислав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Колев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преподавател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физическо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възпитание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ръководител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СУПНЕ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Фридрих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Шилер“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инж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Георги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Георгиев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преподавател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обучение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специализирани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предмети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ПГЕЕ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Апостол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Арнаудов“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Веселин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Досев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начален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директор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СУПНЕ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Фридрих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Шилер“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Петя Атанасова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преподавател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биология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ПГ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транспорт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Павел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Трифонов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преподавател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физическо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възпитание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ПГ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облекло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Недка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Иван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Лазарова“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Ангелова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преподавател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информационни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технологии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роботика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ОУ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Ангел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Кънчев“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Останалите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четиринадесет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претендента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заслужено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грамоти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ваучери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книжарница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Сиела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искрената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B1254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32F0038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“Русе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подпомогна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мащабни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иновативни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подсилват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”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чувството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улесняват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диалога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насърчават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междусекторните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сътрудничество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традиционни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календар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областта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технологии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Успешно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съвсем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приеха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ентусиазъм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!</w:t>
      </w:r>
    </w:p>
    <w:p w14:paraId="3CC48A9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05AB4E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</w:p>
    <w:p w14:paraId="0389B11F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5CA74F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ДЕТСКИ АРТ ХЕПЪНИНГ „НА БРЕГА НА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РЕКАТА“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8B729F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финансовата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СНЦ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сияние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пореден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хепънинг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брега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реката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посветен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29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поредица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РИОСВ –Русе,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осъществиха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емоционално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пътешествие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стартира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екологичното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разнообразие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)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провеждането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лектория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Приказката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наречена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Сребърна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Екологичното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пътешествие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провеждане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безплатни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приложни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: 27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ателие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Рециклирай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</w:t>
      </w:r>
      <w:proofErr w:type="spellEnd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…“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3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Ателие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Бижутер“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18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Ателие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художници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важен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фокус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подпомагане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социален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специфични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потребности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такива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риск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социално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неравностойно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социално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положение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бежанци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традиция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Хепънинг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брега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Реката“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инсталации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сътворени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приложни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рисуване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асфалт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рисуване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върху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материали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пясъчни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картини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оцветяване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гипсови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фигури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блиц-викторина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въпроси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свързани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нейните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обитатели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провеждане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магически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експерименти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сформиран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обявен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мечтите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пореден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престижния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Danube Art Master,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инсталация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материали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Глобалното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Централна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Източна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Европа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Напомняме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отборът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2023 г.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обичаме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нейните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обитатели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грабна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тийнейджърите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2024 г.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Спечели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Министерството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околната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произведението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жабок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СКОКИ.</w:t>
      </w:r>
    </w:p>
    <w:p w14:paraId="5DB8E6F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81B48E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ВИРТУАЛЕН ГИД НА КУЛТУРНОТО И ТУРИСТИЧЕСКОТО НАСЛЕДСТВО НА ОБЩИНА РУСЕ</w:t>
      </w:r>
    </w:p>
    <w:p w14:paraId="1FF85F3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наследство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платформа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360°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по-модерно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историческото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наследство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Русе“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Агенция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човешките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ресурси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ключови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бъдат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достъпни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онлайн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интерактивна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платформа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Google Maps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интеграция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360-градусови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697A3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платформа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обедини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актуална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информация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контакти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обиколки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82D43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предлага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платформата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1143752" w14:textId="77777777" w:rsidR="00D67CA4" w:rsidRPr="00C51E24" w:rsidRDefault="00D67CA4" w:rsidP="00D67CA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360°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около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обектите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потопят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атмосферата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посещението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9B0980" w14:textId="77777777" w:rsidR="00D67CA4" w:rsidRPr="00C51E24" w:rsidRDefault="00D67CA4" w:rsidP="00D67CA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Google Maps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интеграция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улеснява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планирането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маршрути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достъпа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всеки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C83CA2" w14:textId="77777777" w:rsidR="00D67CA4" w:rsidRPr="00C51E24" w:rsidRDefault="00D67CA4" w:rsidP="00D67CA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Триезична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версия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съдържанието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достъпно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английски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румънски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език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CAD11E" w14:textId="77777777" w:rsidR="00D67CA4" w:rsidRPr="00C51E24" w:rsidRDefault="00D67CA4" w:rsidP="00D67CA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Обединена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актуална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информация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музеи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архитектурни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забележителности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религиозни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C5439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затвърждава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имиджа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отворен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съвременните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технологии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</w:p>
    <w:p w14:paraId="46BDD91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чужбина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може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истинско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преживяване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3DD87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A52A6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ПРАЗНИК НА КВАРТАЛА – ЗАДНО В ДРУЖБА И ЧАРОДЕЙКА ПРАЗНУВАТ </w:t>
      </w:r>
    </w:p>
    <w:p w14:paraId="3A58E36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Дружба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Чародейка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поредното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традиционен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възрасти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аниматори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най-малките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СУ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Васил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Левски“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ОУ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Никола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Обретенов“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детските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Снежанка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Червената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шапчица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интересът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кулинарните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23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бурканчета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домашна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лютеница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32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бурканчета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домашно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сладко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радваха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вкус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разнообразие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затрудниха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максимално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отличилите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домакинска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връчи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Златомира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Стефанова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председател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УС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.-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кмет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Съседската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трапеза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-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откритото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пространство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съседи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споделяха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домашни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рецепти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семейни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хоротека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танцьорите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Клуб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Фламинго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Етно“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вечерта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озарена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концертите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Кристиян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Илков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гостенка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Симона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Загорова.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Организаторите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отчетоха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доброволци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положените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усилия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доказва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когато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съберем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по-силна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усмивки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споделени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моменти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сърдечност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съседите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176206" w14:textId="77777777" w:rsidR="00D67CA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7F179CA2" w14:textId="0EFB05BA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ПАРАД НА ДОМАШНИТЕ ЛЮБИМЦИ 2025</w:t>
      </w:r>
    </w:p>
    <w:p w14:paraId="47E0ECFC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70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дефилириха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червения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килим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домашните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любимци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Сдружение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НАПРЕД“ в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Община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Кучета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редки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екзотични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дефилираха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развълнуваната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Атмосферата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холивудска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премиера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аплодисменти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фотоапарати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много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усмивки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море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50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кучета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категории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редки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животински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червено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аржентинско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тегу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чинчила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зайчета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морско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свинче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африкански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охлюви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оценявани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безупречно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д-р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Тодорова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уважаван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ветеринарен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лекар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Галя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Барбукова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зоофризьор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собственик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груминг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салон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Деян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Арабаджиев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собственик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зоомагазин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приют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питомци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чакат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намерят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бъдещи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стопани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Всеки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желаещ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можеше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срещне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осинови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установения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трогателна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напомни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любовта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отговорност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кея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настроение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Десислава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Василева,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фризьорът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домашни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любимци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Кремена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Атанасова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викторина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въпроси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присъстващи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Галя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Барбукова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направи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атрактивна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правилното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стилизиране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любимци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вдъхнови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стопаните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полагат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по-голяма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грижа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четириноги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Областна администрация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кръгла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посветена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безстопанствените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грижата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доказателство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платформа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важен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обществен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F05C63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14F77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ИЗЛОЖБА „МИНАЛОТО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ДНЕС“</w:t>
      </w:r>
      <w:proofErr w:type="gramEnd"/>
    </w:p>
    <w:p w14:paraId="49665E3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седмото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съвместна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Държавен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архив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Русе. Експозицията,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разположена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традиционно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привлича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вниманието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оригиналния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подход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покаже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връзката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настоящето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кратки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привлече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множество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граждани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посветена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емблематичните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десетки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шампиони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олимпийци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треньори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оставили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националната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световната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Експозицията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всеки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стъпки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клубове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големите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успехи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състезатели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клубове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Съпоставката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архивни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съвременни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усещане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диалог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поколенията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А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контекста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изключително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звучи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по-вълнуващо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признание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усилието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спортистите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прославят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напомня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успехите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победите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трябва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помнят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защото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вдъхновяват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бъдещите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поколения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надградят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постигнатото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39DAA4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85C44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ФОТОИЗЛОЖБА „ВЕЛОЕКСПЕДИЦИЯ ВИЕНА -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</w:t>
      </w:r>
      <w:proofErr w:type="gramEnd"/>
    </w:p>
    <w:p w14:paraId="03C7DDFE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август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площад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Свобода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сградата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фотоизложба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надслов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Виена“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Експозицията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зрелищно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колоездачите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задруга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„Slow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Riders“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споделиха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интересни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моменти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велоприключение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изцяло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течението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Дунав.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откриването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запознаят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„Slow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Riders“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визия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цялостно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отношение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поставен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акцент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върху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потенциала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неговото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достойно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Европейската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спомогна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повишаване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осведомеността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подчертава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необходимостта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велосипедната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инфраструктура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9C18F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7689D6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ФОТОКОНКУРС „ОБИЧАМЕ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</w:t>
      </w:r>
      <w:proofErr w:type="gramEnd"/>
    </w:p>
    <w:p w14:paraId="0E92C9F3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площад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Свобода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церемонията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награждаването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победителите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Националния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видео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Обичаме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провежда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шеста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поредна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тазгодишното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60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снимки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амбасадор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Sony Europe Imaging,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20-годишен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Ясен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Лазаров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Община Русе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двадесет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годишен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сферата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визуалното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Десислава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УС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Метин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Масалджи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Плюс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ЕООД,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Любомира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Иванова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ЕООД.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получават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регламента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гледни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неговата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атмосфера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експонирани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шадраваните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сградата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Общината. В раздел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Аерофотография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снимката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Разходка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облаците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Найденов.  В раздел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уловени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моменти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първото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грабна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Зиба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Чакърян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кадъра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шампиони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Станислав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Петрунов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спечели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раздел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Пейзажи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категория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с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„Ruse ship in the morning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fog“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. В раздел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Пейзажи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категория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Любители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отличието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отиде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снимката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Деян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Колев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природата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. В раздел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Пейзажи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категория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Стефани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Панайотова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кадъра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„Слънце в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тревите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. В раздел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Бизнесът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заслужи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Димитрова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нейната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Щъркел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жътва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.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Целувката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Диего“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Владимир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Николов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раздел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Черно-бяла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оспорвано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гласуване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Фейсбук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страницата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грабна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Александър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Андреев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Опашката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остров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Батин“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обяви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дарява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паричната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Александър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присъдена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Явор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Мичев.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направление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Видеоклип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брой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видеа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несъответствието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някой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регламента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взе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решение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поощрителни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дигитални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фоторамки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връчени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направление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ентусиазма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доказаха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вдъхновението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05A1A1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A6A6C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ПЕТЗВЕЗДНА ФОТОГРАФИЯ В РУСЕ </w:t>
      </w:r>
    </w:p>
    <w:p w14:paraId="1359581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2025г.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десетки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цялата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семинар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Марияна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най-утвърдените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сватбена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портретна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най-посещаваните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сфера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него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130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Велико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Търново,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Севлиево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Оряховица,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Шумен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други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обхвана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основни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: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Сватбената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тенденции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Европа“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Познавайте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създавате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по-интересни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визии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снимаме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налага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обработка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Лекторите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споделиха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философия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фотографията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наблюдението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светлината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присъстващите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практическия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модул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задават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въпроси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АРТ КЛУБ f/25.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Бонев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творбите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видео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„ОБИЧАМЕ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9559D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A4BE76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ПАРАД НА РЕТРО АВТОМОБИЛИ И МОТОЦИКЛЕТИ</w:t>
      </w:r>
    </w:p>
    <w:p w14:paraId="242B8C8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потопи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посрещна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единадесетото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Авто-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клуб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РусчукЪ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в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бизнеса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преминава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егидата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Кмета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Ретропарадът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редки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машини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съживява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отминали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епохи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звука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двигатели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блясъка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легендарни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символи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отдавна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заслужено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националния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календар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ежегодно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привлича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десетки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колекционери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мотоциклети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цялата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чужбина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екипажа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Румъния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Стотици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посетители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отблизо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десетки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уникални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превозни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избраха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носителя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всяка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съпътстваща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изявиха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клубове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младежки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Мажоретен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Екстрийм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студио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поп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джаз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пеене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Икономов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студио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Импулс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Вокална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Приста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Фолклорно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студио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Зора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най-успешните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Акустик“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създаде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настроение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многобройните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посетители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Дворецът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занимания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най-малките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—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рисуване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сглобяване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модели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забавления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възрасти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„БДЖ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превози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посетят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безплатно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Музея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транспорта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начин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потопят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по-дълбоко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световната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транспортна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BB2B2D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0E5741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363DC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ГРИЙН РОК ФЕСТ 2025</w:t>
      </w:r>
    </w:p>
    <w:p w14:paraId="16EC6A4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17-ото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„Green Rock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Fest“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вход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съчета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екологично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изкуство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социална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ангажираност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излязоха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утвърдени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банди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чужбина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победители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Зелени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вдъхновения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Caliberty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Alogia“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Jeremy“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„Black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Rose“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СМОГ“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Inconvenients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Хаос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Himera“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екологично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Вечерта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фасадата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сградата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преобразена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3D Mapping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светлинно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шоу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Опазване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околната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среда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гласува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онлайн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най-впечатляващата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авторска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песен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Зелени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вдъхновения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Песента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най-много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гласове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записана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студио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разположена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инсталация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рециклируеми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материали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отправи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осъзнато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отношение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подход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Природозащитен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комплекс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Ломовете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край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Нисово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уъркшоп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Валди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Тотев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обичан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Щурците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Вдъхновенията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въздействието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ѝ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върху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B64372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46267C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RUSE LIGHT &amp; RHYTHM FEST</w:t>
      </w:r>
    </w:p>
    <w:p w14:paraId="333F341F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04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паркинга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Русе“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дългоочакваният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феновете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качествената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електронна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„RUSE LIGHT &amp; RHYTHM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FEST“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лазерно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акробатично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трансформърс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шоу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постави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подобаващ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финал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„MASKA 2025“. </w:t>
      </w:r>
    </w:p>
    <w:p w14:paraId="1ABF514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светлина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настроението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присъстващите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погрижи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популярният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DJ - D-TRAX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MC Mickey.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Момичетата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„Yoli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Dance“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представиха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атрактивни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Акробатична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циркова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хореография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гарнирана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ефектно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лазерно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осветление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повиши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Трансформърс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шоуто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грабна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вниманието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големи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ефекти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Музикалното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гарнирано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зрелищно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светлинно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шоу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световно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легендарния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майстор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лазерите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Фолкнър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Неговият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светлинен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спектакъл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озари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небето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ритъма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неповторима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феерия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светлина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звук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9D8CE6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31C5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 ТУНИНГ ФЕСТИВАЛ МАСКА</w:t>
      </w:r>
    </w:p>
    <w:p w14:paraId="36D1EAD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„MASKA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FESTIVAL“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паркингът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Арена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дрифт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шоу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най-висок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дрифт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впечатляващи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модифицирани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Румъния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Организаторите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България“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определиха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тазгодишното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амбициозна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визия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иновативен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подход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Зоната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притегателно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ентусиасти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обсъждаха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иновации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технологии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можеха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суперколи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въздушно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окачване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изработени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дизайнерски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модели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презентации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насърчи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отговорното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шофиране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информираността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модерните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системи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безопасност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E2B731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EB985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КОЙ Е ПО-ПО-НАЙ?</w:t>
      </w:r>
    </w:p>
    <w:p w14:paraId="1040310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центъра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образователно-развлекателният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?”,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НЧ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Надежда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1908”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Кметство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финансовата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20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възраст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показаха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кръга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включващо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рецитал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песен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артистични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ритъма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Екипът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Веселяците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приключение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подготовката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хореографа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Богданова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модерен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)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педагога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Пламенка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Станчева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песен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стихотворение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).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Празникът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завърши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весела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хоротека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танцовата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читалището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лакомства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малчугани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подготвил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кмета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г-н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Стефан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Цанев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A590D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263E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ТУРНИР ПО „НЕ СЕ СЪРДИ,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ЧОВЕЧЕ!“</w:t>
      </w:r>
      <w:proofErr w:type="gramEnd"/>
    </w:p>
    <w:p w14:paraId="69AF0F3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изключителния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2024 г.,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Сдружение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НАПРЕД“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турнира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сърди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човече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23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август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младежта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алея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Перистери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Турнирът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благотворителна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поставени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дарителски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кутии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събраните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насочени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подпомагане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първокласници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нужда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осигуряване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обувки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пособия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80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възраст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турнира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превръщайки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истински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добротата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солидарността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организаторите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подготвиха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цялото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семейство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най-малките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ателие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младежки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рисунки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върху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безопасни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предмети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оцветяване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цветно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весело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смислено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забавлението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E7DF0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45A9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F48302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</w:p>
    <w:p w14:paraId="6452E55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3590AD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 СПОРТЕН ФЕСТИВАЛ РУСЕ</w:t>
      </w:r>
    </w:p>
    <w:p w14:paraId="30FC14AA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клуб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здраве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240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обединени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84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фирми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премериха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девет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Независимо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променливото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дъжда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ентусиазмът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състезателите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намаляха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показаха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воля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желание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победа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Състезанията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оспорвани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динамични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атмосферата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заредена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усмивки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съперничество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дисциплини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футбол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стрийт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баскетбол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плажен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волейбол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плажен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тенис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тенис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щафета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 х 100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метра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табла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дартс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теглене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въже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демонстрираха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умения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колегиално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единство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движението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настроение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насърчава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физическата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здравословния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начин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работещите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предоставя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неформално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сплотяване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извън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Надпреварите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започнаха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четвъртък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вечер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залата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билярд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дартс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Корона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16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премериха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точност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Дартс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Русе. Петък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вечер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надпреварата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тенис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Русе. 6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щафетната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4х100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метра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бърз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Министерство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вътрешните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надпреварата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стрийт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баскетбол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впуснаха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Мебелна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компания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Ирим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впуснаха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дисциплината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плажен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волейбол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мъже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Проксима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3“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завоюва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остана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Региоком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Европейско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дружество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България,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Драматичен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театър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Огнянов“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Изключителен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табла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Региоком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Европейско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дружество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грабна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Проксима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3“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четвърти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Ойл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ЕООД.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дисциплината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футбол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11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Еконт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Експрес“ АД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Мебелна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компания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Ирим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„МВМ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Металуърк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АД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комплексното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Дрматичен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театър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Огнянов“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Региоком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Европейско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дружество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България,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утвърждава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значимите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календар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съчетава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забавление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социална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отговорност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ценности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продължава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питат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пролетно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652204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D6B79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4CED6D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ВОДНИ БИТКИ – ЛЯТО 2025</w:t>
      </w:r>
    </w:p>
    <w:p w14:paraId="503D277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Стотици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пъстър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вълнуващ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Дунав,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кей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обедини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усилията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6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разнообразни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незабравими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преживявания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много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присъстващи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Кулминацията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2025“,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премериха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състезателни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демонстрирайки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бързина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ловкост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Паралелно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никакво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притеснение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готовност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многобройните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неуморните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аниматори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Веселяците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Благодарение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усилията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координация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случай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цветно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шумно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остане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спомените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големи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пореден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доказа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Дунав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богатство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обществен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обединяващ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възрасти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незабравимо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преживяване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1FFB43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71CE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ЛЕТНИ ИГРИ И ЗАНИМАНИЯ В НЧ „МАКСИМ ГОРКИ 1928“</w:t>
      </w:r>
    </w:p>
    <w:p w14:paraId="111D4C93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занимания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стартира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23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Народно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читалище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Максим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Горки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1928“, с.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Просена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основна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смислена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алтернатива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време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ваканция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Дейностите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провеждаха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седмично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разнообразни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занимания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занимания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свързани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логическо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мислене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двигателна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атмосферата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изпълнена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ентусиазъм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смях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спомените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изработиха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кутии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поставиха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малки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предмети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рисунки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бележки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спомени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стимулира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емоционалната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интелигентност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креативността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Други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интересни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занимания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книжни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открито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Здраве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приготвяне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здравословни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салати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посещение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музей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допринесоха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полезно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смислено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запомнящо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село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Просена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0F57C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A745D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СКАУТСКА АКАДЕМИЯ УМЕНИЯ ЗА ЖИВОТ ЗА ДЕЦА И МЛАДЕЖИ</w:t>
      </w:r>
    </w:p>
    <w:p w14:paraId="232FD73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редица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лекции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младежи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запознаха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основни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умения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ориентиране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помощ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опазване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околната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проведоха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почистване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пътеки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бреговете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грижа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природата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доброволческа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дейност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Историческия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музей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Русе и СТПД 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Академик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отворените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врати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-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демонстрационен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младежта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граждани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игри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демонстрации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скаутските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клубове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научат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повече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дейността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60786D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образование</w:t>
      </w:r>
      <w:proofErr w:type="spellEnd"/>
    </w:p>
    <w:p w14:paraId="78F8DBD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15C241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МОЕТО РУСЕ – ТВОРЧЕСКА РАБОТИЛНИЦА ЗА ТУРИЗЪМ</w:t>
      </w:r>
      <w:r w:rsidRPr="00C51E2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23CA360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работилница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туризъм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стартира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месец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осъществи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сдружение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Хъб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иновации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туризъм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Велико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Търново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ПГТ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Иван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П.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Павлов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октомври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състоя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финалното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разработените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идеи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даде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възможност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покажат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визия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потенциал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оригинални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приложение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туризъм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етапите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посетиха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лекции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посветени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основни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стълба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маршрути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устойчиви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преживяване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приложат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наученото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ръководството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петима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ментори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бизнес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професионалисти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разработването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реализацията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продукти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най-добри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оценка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критерии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иновативност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устойчивост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презентационни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умения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Първото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„Cine taste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Ruse“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предлага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създаването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тематичен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ресторант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вдъхновен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киното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посетителите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могат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насладят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ястия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напитки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свързани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популярни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филми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предложение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бизнес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неговата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360°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всички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страни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обединяващ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театър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технологии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кулинарно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изживяване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пътуване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Дунав.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Гласът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– QR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гидове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предлага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интерактивни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маршрути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Резултатите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публикувани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достъпно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онлайн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разпространено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туризма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организаторите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споделиха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подобни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формати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ефективен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начин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стимулират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интереса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професионално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сектор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8721C7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279F7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51E24">
        <w:rPr>
          <w:rFonts w:ascii="Times New Roman" w:hAnsi="Times New Roman" w:cs="Times New Roman"/>
          <w:bCs/>
          <w:sz w:val="24"/>
          <w:szCs w:val="24"/>
          <w:lang w:val="ru-RU"/>
        </w:rPr>
        <w:t>ГОЛЯМАТА ВИКТОРИНА</w:t>
      </w:r>
    </w:p>
    <w:p w14:paraId="711D7FB4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септември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 г.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домакин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най-голямата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викторина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Събитието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реализира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НЧ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Гоце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Делчев“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170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сформирали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премериха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оспорвана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надпревара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състояща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кръга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Въпросите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поставиха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акцент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върху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българската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история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атмосферата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едновременно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интелектуална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заредена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настроение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представители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Велико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Търново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състезанието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познати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национално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признатият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куизмастър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Атанас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Минчев,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телевизионните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предавания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богат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Последният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печели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преследване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въпроси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формати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допълнително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повиши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престижа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викторината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крайното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ДАВОС“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триумфира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127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второ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нареди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„АБСОЛЮТНИ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ЖИВОТНИ“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120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а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третото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място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заслужено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„АЛФА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6“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109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точки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Отличените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купи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ценни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Свой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отбор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имаше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Общинска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който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класира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десета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позиция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„THE BIG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QUIZ“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доказа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интелектуална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сцена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знанието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забавлението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вървят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ръка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916AD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A7AF1C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SOS ТИНЕЙДЖЪР У ДОМА</w:t>
      </w:r>
    </w:p>
    <w:p w14:paraId="41F58ADB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300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тийнейджъри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безплатна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психологическа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април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ноември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проведоха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18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безплатни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беседи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тренинги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тийнейджъри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помощ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татковците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притекоха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психологът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Елена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Минкова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психологът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терапевт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Теменужка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Христова.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Домакин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проявата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Регионална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библиотека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Каравелов“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>, ОУ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Иван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Вазов“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НЧ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Стефан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Караджа“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Инициативата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част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„SOS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Тийнейджър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дома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Сдружение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Ателие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креативни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идеи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обученията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запознаха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приятели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връстници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разпознаване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добро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лошо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влияние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академични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постижения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насърчаване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позитивно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самочувствие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развитие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емоционална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интелигентност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бъдещето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кариерата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умения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вземане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решения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доверие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семейството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развод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влияе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детето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екранна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зависимост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ефективно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общуване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Темите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адаптирани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специфичните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нужди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техните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деца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Срещите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включваха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практически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примери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реалния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живот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дискусии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позволиха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участниците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обменят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идеи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създадена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специална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Facebook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група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„SOS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Тийнейджър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дома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превърна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пространство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съвети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ресурси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където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чувстват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разбрани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Основните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формиране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знания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умения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справяне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проблемите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отглеждането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тийнейджъри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оказване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безплатна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помощ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бащи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кризисни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ситуации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условия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обсъждане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решаване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актуални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проблеми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свързани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юношеството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формиране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чувство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насърчавайки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ангажираност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отговорност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родителството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доказва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информираността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обменът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опит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ключови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успешното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родителство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здравите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взаимоотношения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тийнейджърите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DCCA8E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5358A4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НАЦИОНАЛЕН УЧЕНИЧЕСКИ КОНКУРС ЗА ЛИТЕРАТУРНО ТВОРЧЕСТВО И ЖУРНАЛИСТИКА „СТОЯН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МИХАЙЛОВСКИ“</w:t>
      </w:r>
      <w:proofErr w:type="gramEnd"/>
    </w:p>
    <w:p w14:paraId="407C681D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тазгодишното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участваха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162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цялата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184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творби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един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журналистически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екип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Произведенията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оценени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председател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поетът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преводач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Пигулева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членове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издателят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писател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Пламен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Абаджиев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поетът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Красимир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Манев.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дарования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конкурираха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раздела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Литературно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" и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Журналистика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". В раздел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Литературно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творчество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Енчо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Енчев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връчи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медали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грамоти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книги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ученици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впечатлили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журито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талант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оригиналност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 В раздел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Журналистика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бяха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връчени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Пигулева,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младите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репортери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признание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активната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гражданска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позиция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словото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награда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конкурса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тази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година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присъдена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Габриела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Лазарова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Шумен.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получи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статуетка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бухал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поставен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върху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книги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символ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знанието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любовта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към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литературата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както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парична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премия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".</w:t>
      </w:r>
    </w:p>
    <w:p w14:paraId="7FB306E2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1C10F4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C31610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устойчива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мрежа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междусекторно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сътрудничество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325136" w14:textId="77777777" w:rsidR="00D67CA4" w:rsidRPr="00C51E24" w:rsidRDefault="00D67CA4" w:rsidP="00D67CA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продължават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ежегодно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създават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партньорства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местни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национални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образователни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институти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неправителствени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организации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21623F97" w14:textId="77777777" w:rsidR="00D67CA4" w:rsidRPr="00C51E24" w:rsidRDefault="00D67CA4" w:rsidP="00D67CA4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Представители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бизнеса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страната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русенци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приеха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като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кауза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отделиха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средства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отчетния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период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постъпили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17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дарения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стойност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81 010,00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2E3575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5ACC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ДАРИТЕЛИ НА ФОНДАЦИЯ „РУСЕ-ГРАД НА СВОБОДНИЯ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ДУХ“ ЗА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ПЕРИОДА ЯНУАРИ - ДЕКЕМВРИ 2024 Г.</w:t>
      </w:r>
    </w:p>
    <w:p w14:paraId="5E826858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Спед“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1/11.04.2025 г.-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дейността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-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наследство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Обичаме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</w:t>
      </w:r>
    </w:p>
    <w:p w14:paraId="4BE9E331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Смарт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Спед“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2/11.04.2025 г.-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BDA5DE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Топлофикация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 АД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3/30.04.2025 г.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-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491120A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ВИТТЕ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Аутомотив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4/07.05.2025 г.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2025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1C6DBBB0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Джи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Софт“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№5/09.05.20254 г.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2025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38C60F4D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Балканцинк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АД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6/14.05.2025 г.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2025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2145D7F0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Ауто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Хит“ АД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№7/01.06.2025 г.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2025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0F79D94C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Тива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Ком“ ЕООД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8/12.06.2025 г.-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дейността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“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Маска,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Фотоконкурс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Обичаме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Ruse Light &amp; Rhythm Fest 2025,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Участие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Мажоретен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състав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Екстрийм, ФТС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Зора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балет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Импулс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Международен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„La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Spiagge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d Italia“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Ричоне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Италия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наследство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</w:t>
      </w:r>
    </w:p>
    <w:p w14:paraId="5091FA8C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Хускварна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9/01.07.2025 г.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–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лято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2025,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наследство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</w:t>
      </w:r>
    </w:p>
    <w:p w14:paraId="0B45A0B5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Ником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 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10/16.07.2025 г.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0932FD0D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Експрес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Сервиз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ООД“ 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№11/16.07.2025 г.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-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Парад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ретро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автомобили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2025“,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квартала</w:t>
      </w:r>
      <w:proofErr w:type="spellEnd"/>
    </w:p>
    <w:p w14:paraId="04227F2B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lastRenderedPageBreak/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Холлеман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България“ 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12/16.07.2025 г.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дейността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Фондация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и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-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Посланик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моето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училище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Водни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битки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Маска</w:t>
      </w:r>
      <w:proofErr w:type="spellEnd"/>
    </w:p>
    <w:p w14:paraId="3A7544E0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Булмаркет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Джи“ ЕООД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13/15.08.2025 г.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Изложба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Миналото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днес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в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Празник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квартала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Голямата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викторина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Виртуален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гид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културното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туристическо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наследство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Община Русе</w:t>
      </w:r>
    </w:p>
    <w:p w14:paraId="3FE01E51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„ДЗИ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Общо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застраховане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 ЕАД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№14/15.09.2025 г.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– 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проект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Тунинг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МАСКА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13F7D435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Региоком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Европейско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дружество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клон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България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15/01.10.2025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подкрепа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Рабонтнически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2594B35F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УМБАЛ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Медика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 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20.09.2025 г.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медицинско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обслужване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Грийн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Рок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2025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54B20D3D" w14:textId="77777777" w:rsidR="00D67CA4" w:rsidRPr="00C51E24" w:rsidRDefault="00D67CA4" w:rsidP="00D67CA4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t>УМБАЛ „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Медика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Русе“ ООД</w:t>
      </w:r>
      <w:proofErr w:type="gram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договор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дарение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от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11.10.2025 г.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медицинско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обслужване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Работнически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спортен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фестивал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Русе 2025 в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рамките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кампанията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„Русе –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град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51E24">
        <w:rPr>
          <w:rFonts w:ascii="Times New Roman" w:hAnsi="Times New Roman" w:cs="Times New Roman"/>
          <w:bCs/>
          <w:sz w:val="24"/>
          <w:szCs w:val="24"/>
        </w:rPr>
        <w:t>свободния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C51E24">
        <w:rPr>
          <w:rFonts w:ascii="Times New Roman" w:hAnsi="Times New Roman" w:cs="Times New Roman"/>
          <w:bCs/>
          <w:sz w:val="24"/>
          <w:szCs w:val="24"/>
        </w:rPr>
        <w:t>дух</w:t>
      </w:r>
      <w:proofErr w:type="spellEnd"/>
      <w:r w:rsidRPr="00C51E24">
        <w:rPr>
          <w:rFonts w:ascii="Times New Roman" w:hAnsi="Times New Roman" w:cs="Times New Roman"/>
          <w:bCs/>
          <w:sz w:val="24"/>
          <w:szCs w:val="24"/>
        </w:rPr>
        <w:t>“</w:t>
      </w:r>
      <w:proofErr w:type="gramEnd"/>
    </w:p>
    <w:p w14:paraId="7395CB3F" w14:textId="77777777" w:rsidR="00D67CA4" w:rsidRDefault="00D67CA4" w:rsidP="00D67C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1037199C" w14:textId="77777777" w:rsidR="00D67CA4" w:rsidRDefault="00D67CA4" w:rsidP="00D67C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63B7B323" w14:textId="77777777" w:rsidR="00D67CA4" w:rsidRDefault="00D67CA4" w:rsidP="00D67C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192B6ACD" w14:textId="77777777" w:rsidR="00D67CA4" w:rsidRDefault="00D67CA4" w:rsidP="00D67C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54FD14BF" w14:textId="77777777" w:rsidR="00D67CA4" w:rsidRDefault="00D67CA4" w:rsidP="00D67C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20F6BBD6" w14:textId="77777777" w:rsidR="00D67CA4" w:rsidRDefault="00D67CA4" w:rsidP="00D67C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3490D1F7" w14:textId="77777777" w:rsidR="00D67CA4" w:rsidRDefault="00D67CA4" w:rsidP="00D67C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32D3C6AD" w14:textId="77777777" w:rsidR="00D67CA4" w:rsidRDefault="00D67CA4" w:rsidP="00D67CA4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DB2D32C" w14:textId="0C11C672" w:rsidR="00D67CA4" w:rsidRPr="00C51E24" w:rsidRDefault="00D67CA4" w:rsidP="00D67CA4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1E24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05C1C0B" w14:textId="01799B71" w:rsidR="00D67CA4" w:rsidRPr="00D67CA4" w:rsidRDefault="00D67CA4" w:rsidP="00D67CA4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C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ФИНАНСОВ ОТЧЕТ НА ФОНДАЦИЯ „РУСЕ-ГРАД НА СВОБОДНИЯ </w:t>
      </w:r>
      <w:proofErr w:type="gramStart"/>
      <w:r w:rsidRPr="00D67CA4">
        <w:rPr>
          <w:rFonts w:ascii="Times New Roman" w:hAnsi="Times New Roman" w:cs="Times New Roman"/>
          <w:b/>
          <w:sz w:val="24"/>
          <w:szCs w:val="24"/>
        </w:rPr>
        <w:t>ДУХ“</w:t>
      </w:r>
      <w:proofErr w:type="gramEnd"/>
    </w:p>
    <w:p w14:paraId="48ACC2C3" w14:textId="77777777" w:rsidR="00D67CA4" w:rsidRPr="00D67CA4" w:rsidRDefault="00D67CA4" w:rsidP="00D67CA4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CA4">
        <w:rPr>
          <w:rFonts w:ascii="Times New Roman" w:hAnsi="Times New Roman" w:cs="Times New Roman"/>
          <w:b/>
          <w:sz w:val="24"/>
          <w:szCs w:val="24"/>
        </w:rPr>
        <w:t>ЗА ПЕРИОДА 1 ЯНУАРИ - 31 ДЕКЕМВРИ 2025 Г.</w:t>
      </w:r>
    </w:p>
    <w:tbl>
      <w:tblPr>
        <w:tblW w:w="10774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095"/>
        <w:gridCol w:w="9"/>
        <w:gridCol w:w="2260"/>
      </w:tblGrid>
      <w:tr w:rsidR="00D67CA4" w:rsidRPr="00C51E24" w14:paraId="13190871" w14:textId="77777777" w:rsidTr="00D67CA4">
        <w:trPr>
          <w:trHeight w:val="5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6B89AD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януари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- 31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декември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г.</w:t>
            </w:r>
          </w:p>
        </w:tc>
      </w:tr>
      <w:tr w:rsidR="00D67CA4" w:rsidRPr="00C51E24" w14:paraId="7D495F68" w14:textId="77777777" w:rsidTr="00D67CA4">
        <w:trPr>
          <w:trHeight w:val="691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5A4D4" w14:textId="77777777" w:rsidR="00D67CA4" w:rsidRPr="00C51E24" w:rsidRDefault="00D67CA4" w:rsidP="009D7C6C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1215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82B7F" w14:textId="77777777" w:rsidR="00D67CA4" w:rsidRPr="00C51E24" w:rsidRDefault="00D67CA4" w:rsidP="00D67CA4">
            <w:pPr>
              <w:spacing w:after="0"/>
              <w:ind w:firstLine="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Сума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B8F3646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E026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Човешки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0144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възнаграждения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756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31 332,19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17B72D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F71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42 000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026A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Осигуровки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данъци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6FE6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5 938,33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F9A4B70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7FE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7032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Общо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4BD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37 270,52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A8F56C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CED7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EE91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Остатък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/-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Недостиг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D32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4 729,48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767E51E" w14:textId="77777777" w:rsidTr="00D67CA4">
        <w:trPr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  <w:hideMark/>
          </w:tcPr>
          <w:p w14:paraId="28015D6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D67CA4" w:rsidRPr="00C51E24" w14:paraId="4D9FA496" w14:textId="77777777" w:rsidTr="00D67CA4">
        <w:trPr>
          <w:trHeight w:val="40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A76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Външни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361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Поддръжка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офис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консумация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електричество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507F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1062,55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B0D55E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9F32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16 000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C3E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Данък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сгради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ТБО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офис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48D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178,46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91753B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207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7637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Потребление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мобилни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съобщителни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0CDE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972,98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FA76972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233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AD48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офис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стележи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електромер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пощенска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кутия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7962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260,44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B8B36C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253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0760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Хостинг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DEC3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387,00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A9F3982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1000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AEC1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Куриерски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F857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30,56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B49136D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1AE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BC2C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Такса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електронен</w:t>
            </w:r>
            <w:proofErr w:type="spellEnd"/>
            <w:proofErr w:type="gram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подпис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12B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48,00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7BF7E68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117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E0E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Банкови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такси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28E0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652,39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EEAFFAB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129C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BAD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Превод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книжка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9AEF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297,00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C48EAA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223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011F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Снимка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книжка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EDC5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1979793" w14:textId="77777777" w:rsidTr="00D67CA4">
        <w:trPr>
          <w:trHeight w:val="57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FB13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F221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Отпечатване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книжки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Годишен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отчет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дейността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Общинска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фондация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„Русе -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град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дух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974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2 910,00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B95136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A3F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5121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Счетоводна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4267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4 500,00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DB0C4D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529C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0D62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Уебсайт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56FD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7 700,00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4B53EC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C41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CCC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Такса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към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Търговски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регистър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9B1C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0D51AC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80A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28C7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Офис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оборудване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консумативи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80F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260,44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B0C6F58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952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73C6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Общо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62F9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19 074,38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3A84C77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88BB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B1F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Остатък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/-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Недостиг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D0DD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-3 074,38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7773751" w14:textId="77777777" w:rsidTr="00D67CA4">
        <w:trPr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</w:tcPr>
          <w:p w14:paraId="7A8A51F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CA4" w:rsidRPr="00C51E24" w14:paraId="02195879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1D61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555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A102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Сума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60CFA59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3B9F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Командировки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страната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чужбина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18EA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ползвани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9577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8BBE4C7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CEFD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8E35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Общо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6663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B9944C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AB3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93FC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Остатък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/-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Недостиг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1D87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A7A5634" w14:textId="77777777" w:rsidTr="00D67CA4">
        <w:trPr>
          <w:trHeight w:val="288"/>
        </w:trPr>
        <w:tc>
          <w:tcPr>
            <w:tcW w:w="107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8D08D" w:themeFill="accent6" w:themeFillTint="99"/>
            <w:vAlign w:val="center"/>
          </w:tcPr>
          <w:p w14:paraId="61F0B5C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CA4" w:rsidRPr="00C51E24" w14:paraId="4931866A" w14:textId="77777777" w:rsidTr="00D67CA4">
        <w:trPr>
          <w:trHeight w:val="576"/>
        </w:trPr>
        <w:tc>
          <w:tcPr>
            <w:tcW w:w="2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EA9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Реализиране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Местни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инициативи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подкрепа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рамките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фонд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“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Лицата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Русе”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8B9C40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Участие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Андреа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Петкова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XVII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изпълнителни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инструменталисти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Тревизо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Италия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11-13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април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2025г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9A20F4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508,00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94BAB93" w14:textId="77777777" w:rsidTr="00D67CA4">
        <w:trPr>
          <w:trHeight w:val="576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660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99BF18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Вероника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Илиева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клавирен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PREMIO TOSCANA CITTA' DI CASCINA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Кашина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Италия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11-15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юни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г. 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E8CC41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468,00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493302B" w14:textId="77777777" w:rsidTr="00D67CA4">
        <w:trPr>
          <w:trHeight w:val="57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224F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130 598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8509CD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Детско-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юношески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фолклорен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ансамбъл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Зорница“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към</w:t>
            </w:r>
            <w:proofErr w:type="spellEnd"/>
            <w:proofErr w:type="gram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Общински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център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култура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изкуство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Русе в VIII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фолклорен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фестивал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Лято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Босна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Херцеговина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“ в</w:t>
            </w:r>
            <w:proofErr w:type="gram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Високо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 – 25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2025 г.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79D31F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5 000,00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42E50D1" w14:textId="77777777" w:rsidTr="00D67CA4">
        <w:trPr>
          <w:trHeight w:val="321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AE1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43C69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Транспортни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разходи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2539F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5 000,00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7F9BBC5" w14:textId="77777777" w:rsidTr="00D67CA4">
        <w:trPr>
          <w:trHeight w:val="57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145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C1CA3E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Мажоретен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състав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Екстрийм, ФТС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Зора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балет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Импулс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Международен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фестивал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„La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Spiagge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 </w:t>
            </w:r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Italia“ в</w:t>
            </w:r>
            <w:proofErr w:type="gram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Ричоне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Италия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23-30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септември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2025г.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1C89B4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6 500,00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4C2ACD3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719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4C0B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Транспортни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разходи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2D0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6 500,00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A90CDD1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CE13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B0998A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Изложба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Миналото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Днес“</w:t>
            </w:r>
            <w:proofErr w:type="gram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A333BF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2 503,40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243314D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CFA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DFAF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консумативи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2181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113,40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5354DA8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35F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C44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Фотографско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заснемане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DFAA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950,00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390FA2A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E4F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CEE1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Печат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винили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монтаж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демонтаж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973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1 440,00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82F7C4D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E74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18AC70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Национален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ученически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литература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журналистика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"Стоян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Михайловски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"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402BD9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5A6AE39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964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0EDE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Парична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191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EB1EE0C" w14:textId="77777777" w:rsidTr="00D67CA4">
        <w:trPr>
          <w:trHeight w:val="227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87F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C4ADE9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„Green Rock Fest Ruse 2025“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F4AABE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472F400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2B7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F07E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Дарение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E997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E082973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888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10E806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Детски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арт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хепънинг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брега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Реката“ 2025</w:t>
            </w:r>
            <w:proofErr w:type="gram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461FBD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1 783,00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E34344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AE44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4B79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4B58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Сума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F8E3349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C7B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58C1F2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Водни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битки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лято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2025“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9433A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7 737,94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D67CA4" w:rsidRPr="00C51E24" w14:paraId="7491BDA3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320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67E2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Водещ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аниматори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украса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сцена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273C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17A4DFD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169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F985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Озвучаване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4D98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69A2330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EA7F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FA73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консумативи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спортните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игри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EBE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1 577,02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B6ECD75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9E3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4DA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Тениски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B8C3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90,60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B941E38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D32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E3EB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Куриерски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A6E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18,58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4C1B30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8165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28A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децата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230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1 204,66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0848F5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1EC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9ED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0E45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F9ADA5B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874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E73E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Печат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винил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0445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247,08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6C81548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AE9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BB1FFB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Тунинг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фестивал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МАСКА </w:t>
            </w:r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2024“ </w:t>
            </w: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6AD05E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17 000,00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EBBCC95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44F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A94BC4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Работнически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фестивал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Русе 2025“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708FC1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15 076,23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7898753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BE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191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Плакати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0F52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7BAC93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50C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D6D3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Наем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спортен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терен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к-с „</w:t>
            </w:r>
            <w:proofErr w:type="spellStart"/>
            <w:proofErr w:type="gram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Олимпия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proofErr w:type="gram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зала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Корона,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зала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Арена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A46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500,16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8D0B48D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C76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F896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Купи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плакети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медали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6AC6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2 116,99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5474C4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437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8EA1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Консумативи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спортна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табла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8C8A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149,94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8CC5603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C2F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894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817F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2 006,63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04245CD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B7E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7509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C660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0A90EF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929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1029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осигуряване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C991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E7A5B36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37C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C7DE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осигуряване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линейка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5E25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6778572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F47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46ED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съдийско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обезпечаване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1B3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19A3E4F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262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07C4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Застраховка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0AF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211,51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6CD7080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265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39B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E8D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F885557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A3A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56F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ваучери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5A5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7 560,00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170B6C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9CE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5F5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Озвучаване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8E1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466911A" w14:textId="77777777" w:rsidTr="00D67CA4">
        <w:trPr>
          <w:trHeight w:val="311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5AF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304D8BF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изложба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"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Велоекспедиция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Виена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Русе" </w:t>
            </w: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9FE85F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1 350,00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BEF5C1F" w14:textId="77777777" w:rsidTr="00D67CA4">
        <w:trPr>
          <w:trHeight w:val="576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5EA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710D5B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Виртуален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културното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туристическо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наследство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Община Русе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BE42F1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8 700,00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D8BA665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F82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5153F9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занимания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НЧ "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Максим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"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B364F4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1 128,00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7690528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172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A332DC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Кой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най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-?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870B8A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1 000,00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D0BE151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7C09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48B1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E59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Сума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100C95D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9AA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66C8AF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Скаутска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академия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живот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деца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младежи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D1B726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758,00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69E6370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B67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F1B0B7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SOS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Тийнейджър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дома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B92B7B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4 600,00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9B9FF5F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7A8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4BD974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Посланик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дух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моето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училище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“ 2025</w:t>
            </w:r>
            <w:proofErr w:type="gram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860842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5 281,21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6719FB0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8C0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719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Статуетки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46A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237,36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970CD83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DD0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666C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Рамки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грамоти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28E7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74,85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222EB55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09B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4CE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Ваучери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книги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1263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1 369,06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603C267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0B4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404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Лаптопи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7730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3 599,94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86CBEA1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EFE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B11BFA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„Ruse Light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&amp; 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Rhythm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Fest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2025“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2F1FC6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13 953,19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280C605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FDB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CCB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Водещ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58B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B2DBEE5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574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1D3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Осветление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FE26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3 060,00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D8F6A45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2EA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6D5B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Танцово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шоу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1B7A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1 320,00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B350D87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A26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DC6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Наем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огради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74D1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2 911,00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817D75B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A0E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765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Хонорари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DJ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FDEE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1 325,61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B86C347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A3E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0F8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Хонорари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артисти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1CD1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1 677,98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6A636C8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4A4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EE5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Озвучаване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9852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2 100,00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E77E54F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7C0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35E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Авторски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756C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898,60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B6E9EFC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CE3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5879E2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Моето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Русе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работилница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туризъм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ECBCC7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6 005,00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A43FD91" w14:textId="77777777" w:rsidTr="00D67CA4">
        <w:trPr>
          <w:trHeight w:val="27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E92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25EABE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Парад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домашните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любимци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4F586E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5 096,00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F5EB2E8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8B5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6EE66EA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Празник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квартала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Заедно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Дружба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Чародейка“</w:t>
            </w:r>
            <w:proofErr w:type="gram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931322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14 886,00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2A6889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177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12D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Водещ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аниматори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детска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работилница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C9D2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3 360,00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52445D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3AA8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1DF6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Озвучаване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осветление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1F0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00D09D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8B52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9936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Консумативи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674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2 374,48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E62157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ED6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34FE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D0F5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1 385,58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3EB5AED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F53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F72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Шоу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45C0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277E6C5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FC8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BD5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Хонорар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артисти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Кристиян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Илков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Симона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Загорова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41EA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3 612,43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DFC9902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FD1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456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Дарение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детски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играчки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2EA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1 797,51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91EEC0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CCB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8BDB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97A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5F2FDA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2E6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A37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Плакати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171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BF5187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FF8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C6EAE9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Голямата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викторина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“ –</w:t>
            </w:r>
            <w:proofErr w:type="gram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D2B94B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2 200,00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0CE2446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050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25EA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6956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Сума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3542A38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708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8B33EA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Турнир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сърди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човече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!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договор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грант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F78AB6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73A44E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68B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B92A53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Парад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ретро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автомобили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мотоциклети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Русе 2025“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3D96D1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9 782,57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6FEC7FB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F57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A70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Озвучаване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6A40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8718D2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A73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D202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Флаери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73CB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134,40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6061F80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F17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06C0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Нощувка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жури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238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2856FE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5E7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B194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автокозметика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6696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1 106,28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18AE7696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C2B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78DE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микрофибърни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кърпи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52A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963,38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D60CE1D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088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BC0B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чорапи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039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747,60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C123EC4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295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EE3A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0002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1 540,00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0288AD2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CF4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39E9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Подаръци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бъфчета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86DC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1 065,90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0BBB9C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42C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79CE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изработка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смола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A903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155,93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6B4CCB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3677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59F2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7109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160,68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3C59385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A01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04C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изработка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участниците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сублимационен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алуминий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048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276,00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923739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456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89CC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услуга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натура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3F4D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40DE01D9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C2F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19C3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Рекламни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110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1 922,40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0F6039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C69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C45344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Петзвездна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фотография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</w:t>
            </w:r>
            <w:proofErr w:type="gram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Русе“</w:t>
            </w:r>
            <w:proofErr w:type="gram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15F346F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1 260,00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B47454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8DF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2B94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Хотелско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настаняване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3B29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E5377F1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FA3B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174D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Наем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B1F1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89ADC46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04D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46A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Хонорар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лектори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573D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FF77A5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2DF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204E247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Национален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Фотоконкурс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изложба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"ОБИЧАМЕ РУСЕ"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70D9D61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9 339,18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2E2F90CC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103D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1AE8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Графичен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5DF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450,00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54B7C53E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2AC6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E25B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Изработка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плакети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винили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изложба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9E661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2 889,00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373052A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C99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9F8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Парични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54A5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5 335,00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78CD2245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F04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B8D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награди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9F80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3C85AE37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8A953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4C38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Консумативи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B496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25,18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04FE2C06" w14:textId="77777777" w:rsidTr="00D67CA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95802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23160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Общо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CF20A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143 295,75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A07C0FC" w14:textId="77777777" w:rsidTr="00D67CA4">
        <w:trPr>
          <w:trHeight w:val="288"/>
        </w:trPr>
        <w:tc>
          <w:tcPr>
            <w:tcW w:w="2410" w:type="dxa"/>
            <w:vAlign w:val="center"/>
          </w:tcPr>
          <w:p w14:paraId="25EB931C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6419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Остатък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/-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Недостиг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планираните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057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-12 697,75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67CA4" w:rsidRPr="00C51E24" w14:paraId="6D5D54CD" w14:textId="77777777" w:rsidTr="00D67CA4">
        <w:trPr>
          <w:trHeight w:val="288"/>
        </w:trPr>
        <w:tc>
          <w:tcPr>
            <w:tcW w:w="2410" w:type="dxa"/>
            <w:shd w:val="clear" w:color="auto" w:fill="A8D08D" w:themeFill="accent6" w:themeFillTint="99"/>
            <w:vAlign w:val="center"/>
            <w:hideMark/>
          </w:tcPr>
          <w:p w14:paraId="46837A4F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shd w:val="clear" w:color="auto" w:fill="A8D08D" w:themeFill="accent6" w:themeFillTint="99"/>
            <w:vAlign w:val="center"/>
            <w:hideMark/>
          </w:tcPr>
          <w:p w14:paraId="3CF7FEB8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9" w:type="dxa"/>
            <w:gridSpan w:val="2"/>
            <w:shd w:val="clear" w:color="auto" w:fill="A8D08D" w:themeFill="accent6" w:themeFillTint="99"/>
            <w:vAlign w:val="center"/>
          </w:tcPr>
          <w:p w14:paraId="10F3A067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CA4" w:rsidRPr="00C51E24" w14:paraId="48433268" w14:textId="77777777" w:rsidTr="00D67CA4">
        <w:trPr>
          <w:trHeight w:val="288"/>
        </w:trPr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1DF5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Общо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направени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разходи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януари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декември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г.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8FF9E" w14:textId="77777777" w:rsidR="00D67CA4" w:rsidRPr="00C51E24" w:rsidRDefault="00D67CA4" w:rsidP="009D7C6C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199 640,65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54F189BC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e"/>
        <w:tblW w:w="105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06"/>
        <w:gridCol w:w="1842"/>
        <w:gridCol w:w="236"/>
      </w:tblGrid>
      <w:tr w:rsidR="00D67CA4" w:rsidRPr="00C51E24" w14:paraId="4C41DCE5" w14:textId="77777777" w:rsidTr="009D7C6C">
        <w:trPr>
          <w:gridAfter w:val="1"/>
          <w:wAfter w:w="236" w:type="dxa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13DD5DA" w14:textId="77777777" w:rsidR="00D67CA4" w:rsidRPr="00C51E2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Приходи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януари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31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декември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година</w:t>
            </w:r>
            <w:proofErr w:type="spellEnd"/>
          </w:p>
        </w:tc>
      </w:tr>
      <w:tr w:rsidR="00D67CA4" w:rsidRPr="00C51E24" w14:paraId="5AA81807" w14:textId="77777777" w:rsidTr="009D7C6C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08B9" w14:textId="77777777" w:rsidR="00D67CA4" w:rsidRPr="00C51E2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Преходен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остатък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5848" w14:textId="77777777" w:rsidR="00D67CA4" w:rsidRPr="00C51E24" w:rsidRDefault="00D67CA4" w:rsidP="009D7C6C">
            <w:pPr>
              <w:spacing w:line="276" w:lineRule="auto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9098,00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3A890A" w14:textId="77777777" w:rsidR="00D67CA4" w:rsidRPr="00C51E2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CA4" w:rsidRPr="00C51E24" w14:paraId="7172649E" w14:textId="77777777" w:rsidTr="009D7C6C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A4BF" w14:textId="77777777" w:rsidR="00D67CA4" w:rsidRPr="00C51E2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Целеви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Община Русе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3C48" w14:textId="77777777" w:rsidR="00D67CA4" w:rsidRPr="00C51E24" w:rsidRDefault="00D67CA4" w:rsidP="009D7C6C">
            <w:pPr>
              <w:spacing w:line="276" w:lineRule="auto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120000,00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5C6A9A" w14:textId="77777777" w:rsidR="00D67CA4" w:rsidRPr="00C51E2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CA4" w:rsidRPr="00C51E24" w14:paraId="120480B5" w14:textId="77777777" w:rsidTr="009D7C6C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F6F6" w14:textId="77777777" w:rsidR="00D67CA4" w:rsidRPr="00C51E2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Дарения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17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бр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150F" w14:textId="77777777" w:rsidR="00D67CA4" w:rsidRPr="00C51E24" w:rsidRDefault="00D67CA4" w:rsidP="009D7C6C">
            <w:pPr>
              <w:spacing w:line="276" w:lineRule="auto"/>
              <w:ind w:firstLine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81010,00 </w:t>
            </w:r>
            <w:proofErr w:type="spellStart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лв</w:t>
            </w:r>
            <w:proofErr w:type="spellEnd"/>
            <w:r w:rsidRPr="00C51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01A430" w14:textId="77777777" w:rsidR="00D67CA4" w:rsidRPr="00C51E2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7CA4" w:rsidRPr="00D67CA4" w14:paraId="5638AA1D" w14:textId="77777777" w:rsidTr="009D7C6C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6D3B" w14:textId="77777777" w:rsidR="00D67CA4" w:rsidRPr="00D67CA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A4">
              <w:rPr>
                <w:rFonts w:ascii="Times New Roman" w:hAnsi="Times New Roman" w:cs="Times New Roman"/>
                <w:b/>
                <w:sz w:val="24"/>
                <w:szCs w:val="24"/>
              </w:rPr>
              <w:t>ОБЩО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433A" w14:textId="77777777" w:rsidR="00D67CA4" w:rsidRPr="00D67CA4" w:rsidRDefault="00D67CA4" w:rsidP="00D67CA4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A4">
              <w:rPr>
                <w:rFonts w:ascii="Times New Roman" w:hAnsi="Times New Roman" w:cs="Times New Roman"/>
                <w:b/>
                <w:sz w:val="24"/>
                <w:szCs w:val="24"/>
              </w:rPr>
              <w:t>210 108,00 лв.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98FD43" w14:textId="77777777" w:rsidR="00D67CA4" w:rsidRPr="00D67CA4" w:rsidRDefault="00D67CA4" w:rsidP="009D7C6C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E2EBE8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810729" w14:textId="77777777" w:rsidR="00D67CA4" w:rsidRPr="00C51E24" w:rsidRDefault="00D67CA4" w:rsidP="00D67CA4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9515E" w14:textId="77777777" w:rsidR="00D67CA4" w:rsidRDefault="00D67CA4">
      <w:pPr>
        <w:rPr>
          <w:lang w:val="bg-BG"/>
        </w:rPr>
      </w:pPr>
    </w:p>
    <w:p w14:paraId="26D79CD5" w14:textId="77777777" w:rsidR="00D67CA4" w:rsidRDefault="00D67CA4">
      <w:pPr>
        <w:rPr>
          <w:lang w:val="bg-BG"/>
        </w:rPr>
      </w:pPr>
    </w:p>
    <w:p w14:paraId="30264D5D" w14:textId="77777777" w:rsidR="00D67CA4" w:rsidRDefault="00D67CA4">
      <w:pPr>
        <w:rPr>
          <w:lang w:val="bg-BG"/>
        </w:rPr>
      </w:pPr>
    </w:p>
    <w:p w14:paraId="733A2178" w14:textId="77777777" w:rsidR="00D67CA4" w:rsidRDefault="00D67CA4">
      <w:pPr>
        <w:rPr>
          <w:lang w:val="bg-BG"/>
        </w:rPr>
      </w:pPr>
    </w:p>
    <w:p w14:paraId="108CFD69" w14:textId="77777777" w:rsidR="00D67CA4" w:rsidRDefault="00D67CA4">
      <w:pPr>
        <w:rPr>
          <w:lang w:val="bg-BG"/>
        </w:rPr>
      </w:pPr>
    </w:p>
    <w:p w14:paraId="08121F0C" w14:textId="77777777" w:rsidR="00D67CA4" w:rsidRDefault="00D67CA4">
      <w:pPr>
        <w:rPr>
          <w:lang w:val="bg-BG"/>
        </w:rPr>
      </w:pPr>
    </w:p>
    <w:p w14:paraId="6CEFCE5A" w14:textId="77777777" w:rsidR="00D67CA4" w:rsidRDefault="00D67CA4">
      <w:pPr>
        <w:rPr>
          <w:lang w:val="bg-BG"/>
        </w:rPr>
      </w:pPr>
    </w:p>
    <w:p w14:paraId="27EE2F5E" w14:textId="77777777" w:rsidR="00D67CA4" w:rsidRDefault="00D67CA4">
      <w:pPr>
        <w:rPr>
          <w:lang w:val="bg-BG"/>
        </w:rPr>
      </w:pPr>
    </w:p>
    <w:p w14:paraId="56513B64" w14:textId="77777777" w:rsidR="00D67CA4" w:rsidRDefault="00D67CA4" w:rsidP="00D67C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:</w:t>
      </w:r>
    </w:p>
    <w:p w14:paraId="056044A6" w14:textId="77777777" w:rsidR="00D67CA4" w:rsidRDefault="00D67CA4" w:rsidP="00D67CA4">
      <w:pPr>
        <w:pStyle w:val="Default"/>
        <w:ind w:firstLine="708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акад. Христо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 дтн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74B1429" w14:textId="77777777" w:rsidR="00D67CA4" w:rsidRPr="00D67CA4" w:rsidRDefault="00D67CA4">
      <w:pPr>
        <w:rPr>
          <w:lang w:val="bg-BG"/>
        </w:rPr>
      </w:pPr>
    </w:p>
    <w:sectPr w:rsidR="00D67CA4" w:rsidRPr="00D67CA4" w:rsidSect="00D67CA4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81C62"/>
    <w:multiLevelType w:val="multilevel"/>
    <w:tmpl w:val="7212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4C5BCA"/>
    <w:multiLevelType w:val="hybridMultilevel"/>
    <w:tmpl w:val="CCD6DD7E"/>
    <w:lvl w:ilvl="0" w:tplc="2A985E6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67570">
    <w:abstractNumId w:val="1"/>
  </w:num>
  <w:num w:numId="2" w16cid:durableId="725685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6864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AF"/>
    <w:rsid w:val="000127E7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5A0557"/>
    <w:rsid w:val="00615EA5"/>
    <w:rsid w:val="006907C3"/>
    <w:rsid w:val="006B3118"/>
    <w:rsid w:val="007367FD"/>
    <w:rsid w:val="009069E2"/>
    <w:rsid w:val="00976381"/>
    <w:rsid w:val="00AD0895"/>
    <w:rsid w:val="00D67CA4"/>
    <w:rsid w:val="00E83F31"/>
    <w:rsid w:val="00E874AF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4B21"/>
  <w15:chartTrackingRefBased/>
  <w15:docId w15:val="{26ACA3CB-35CB-4801-A088-289193E7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AF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E874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4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4A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4A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4A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4A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4A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4A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4A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87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87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87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874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874A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87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874A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87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87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8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4A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8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4A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87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4AF"/>
    <w:pPr>
      <w:spacing w:line="259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E87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87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4A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874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table" w:styleId="ae">
    <w:name w:val="Table Grid"/>
    <w:basedOn w:val="a1"/>
    <w:uiPriority w:val="59"/>
    <w:rsid w:val="00D67CA4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8570</Words>
  <Characters>48855</Characters>
  <Application>Microsoft Office Word</Application>
  <DocSecurity>0</DocSecurity>
  <Lines>407</Lines>
  <Paragraphs>114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2026-05-04T08:43:00Z</cp:lastPrinted>
  <dcterms:created xsi:type="dcterms:W3CDTF">2026-05-04T07:12:00Z</dcterms:created>
  <dcterms:modified xsi:type="dcterms:W3CDTF">2026-05-04T08:50:00Z</dcterms:modified>
</cp:coreProperties>
</file>